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55" w:name="_GoBack"/>
      <w:bookmarkEnd w:id="55"/>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line="360" w:lineRule="auto"/>
        <w:ind w:firstLine="480" w:firstLineChars="200"/>
        <w:rPr>
          <w:rFonts w:hint="eastAsia"/>
          <w:color w:val="auto"/>
        </w:rPr>
      </w:pPr>
      <w:bookmarkStart w:id="3" w:name="_Toc31730"/>
      <w:bookmarkStart w:id="4" w:name="_Toc13624"/>
      <w:bookmarkStart w:id="5" w:name="_Toc3592"/>
      <w:bookmarkStart w:id="6" w:name="_Toc12596"/>
      <w:bookmarkStart w:id="7" w:name="OLE_LINK5"/>
      <w:bookmarkStart w:id="8" w:name="OLE_LINK3"/>
      <w:bookmarkStart w:id="9" w:name="OLE_LINK4"/>
      <w:bookmarkStart w:id="10" w:name="OLE_LINK1"/>
      <w:bookmarkStart w:id="11"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黑龙江省交投高速公路运营管理有限公司哈尔滨南养护分公司</w:t>
      </w:r>
      <w:r>
        <w:rPr>
          <w:rFonts w:hint="eastAsia" w:ascii="宋体" w:hAnsi="宋体" w:eastAsia="宋体" w:cs="宋体"/>
          <w:color w:val="auto"/>
          <w:sz w:val="24"/>
          <w:szCs w:val="24"/>
        </w:rPr>
        <w:t>的委托，对</w:t>
      </w:r>
      <w:r>
        <w:rPr>
          <w:rFonts w:hint="eastAsia" w:ascii="宋体" w:hAnsi="宋体" w:eastAsia="宋体" w:cs="宋体"/>
          <w:color w:val="auto"/>
          <w:sz w:val="24"/>
          <w:szCs w:val="24"/>
          <w:lang w:val="en-US" w:eastAsia="zh-CN"/>
        </w:rPr>
        <w:t>黑龙江省交投高速公路运营管理有限公司哈尔滨南养护分公司2022年通勤车租赁项目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0119</w:t>
      </w:r>
    </w:p>
    <w:p>
      <w:pPr>
        <w:pStyle w:val="2"/>
        <w:spacing w:before="1" w:line="360" w:lineRule="auto"/>
        <w:ind w:firstLine="480" w:firstLineChars="200"/>
        <w:rPr>
          <w:rFonts w:hint="eastAsia" w:ascii="宋体" w:hAnsi="宋体" w:eastAsia="宋体" w:cs="宋体"/>
          <w:color w:val="auto"/>
          <w:sz w:val="24"/>
          <w:szCs w:val="24"/>
        </w:rPr>
      </w:pPr>
      <w:bookmarkStart w:id="12" w:name="_Toc26540"/>
      <w:bookmarkStart w:id="13" w:name="_Toc16419"/>
      <w:bookmarkStart w:id="14" w:name="_Toc30666"/>
      <w:bookmarkStart w:id="15" w:name="_Toc25086"/>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lang w:val="en-US" w:eastAsia="zh-CN"/>
        </w:rPr>
        <w:t>：</w:t>
      </w:r>
      <w:bookmarkStart w:id="16" w:name="_Toc19668"/>
      <w:bookmarkStart w:id="17" w:name="_Toc14598"/>
      <w:bookmarkStart w:id="18" w:name="_Toc27714"/>
      <w:bookmarkStart w:id="19" w:name="_Toc25759"/>
      <w:r>
        <w:rPr>
          <w:rFonts w:hint="eastAsia" w:ascii="宋体" w:hAnsi="宋体" w:eastAsia="宋体" w:cs="宋体"/>
          <w:color w:val="auto"/>
          <w:sz w:val="24"/>
          <w:szCs w:val="24"/>
          <w:lang w:val="en-US" w:eastAsia="zh-CN"/>
        </w:rPr>
        <w:t>黑龙江省交投高速公路运营管理有限公司哈尔滨南养护分公司2022年通勤车租赁项目</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26167"/>
      <w:bookmarkStart w:id="23" w:name="_Toc16641"/>
      <w:bookmarkStart w:id="24" w:name="_Toc32674"/>
      <w:bookmarkStart w:id="25" w:name="_Toc5426"/>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1500000.00元/年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28922"/>
      <w:bookmarkStart w:id="27" w:name="_Toc9568"/>
      <w:bookmarkStart w:id="28" w:name="_Toc9435"/>
      <w:bookmarkStart w:id="29" w:name="_Toc26613"/>
      <w:r>
        <w:rPr>
          <w:rFonts w:hint="eastAsia" w:ascii="宋体" w:hAnsi="宋体" w:eastAsia="宋体" w:cs="宋体"/>
          <w:color w:val="auto"/>
          <w:sz w:val="24"/>
          <w:szCs w:val="24"/>
        </w:rPr>
        <w:t>采购需求：</w:t>
      </w:r>
      <w:r>
        <w:rPr>
          <w:rFonts w:hint="eastAsia" w:ascii="宋体" w:hAnsi="宋体"/>
          <w:color w:val="auto"/>
          <w:sz w:val="24"/>
        </w:rPr>
        <w:t>2022</w:t>
      </w:r>
      <w:r>
        <w:rPr>
          <w:rFonts w:hint="eastAsia"/>
          <w:color w:val="auto"/>
          <w:sz w:val="24"/>
          <w:lang w:eastAsia="zh-CN"/>
        </w:rPr>
        <w:t>年</w:t>
      </w:r>
      <w:r>
        <w:rPr>
          <w:rFonts w:hint="eastAsia"/>
          <w:color w:val="auto"/>
          <w:sz w:val="24"/>
          <w:lang w:val="en-US" w:eastAsia="zh-CN"/>
        </w:rPr>
        <w:t>通勤车租赁，</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cs="宋体"/>
          <w:color w:val="auto"/>
          <w:lang w:val="en-US" w:eastAsia="zh-CN"/>
        </w:rPr>
        <w:t>服务</w:t>
      </w:r>
      <w:r>
        <w:rPr>
          <w:rFonts w:hint="eastAsia" w:ascii="宋体" w:hAnsi="宋体" w:cs="宋体"/>
          <w:color w:val="auto"/>
          <w:lang w:val="en-US" w:eastAsia="zh-CN"/>
        </w:rPr>
        <w:t>期限：三年合同签订采取1+1+1方式（即采购人视资金安排及对供应商提供服务的绩效考核等情况确定是否续签，一年期或预算金额满，以先达到者为准）。采购人每年末进行考核，合格后则续签下一年合同。中标供应商在履行合同过程中，如出现服务质量问题和违约问题，采购人有权终止并不再续签合</w:t>
      </w:r>
      <w:r>
        <w:rPr>
          <w:rFonts w:hint="eastAsia" w:ascii="宋体" w:hAnsi="宋体" w:eastAsia="宋体" w:cs="宋体"/>
          <w:color w:val="auto"/>
          <w:sz w:val="24"/>
          <w:szCs w:val="24"/>
          <w:lang w:val="en-US" w:eastAsia="zh-CN"/>
        </w:rPr>
        <w:t>同。</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w:t>
      </w:r>
      <w:r>
        <w:rPr>
          <w:rFonts w:hint="eastAsia" w:ascii="宋体" w:hAnsi="宋体" w:eastAsia="宋体" w:cs="宋体"/>
          <w:color w:val="auto"/>
          <w:sz w:val="24"/>
          <w:szCs w:val="24"/>
          <w:lang w:eastAsia="zh-CN"/>
        </w:rPr>
        <w:t>以与采购人签订合同为准</w:t>
      </w:r>
      <w:r>
        <w:rPr>
          <w:rFonts w:hint="eastAsia" w:ascii="宋体" w:hAnsi="宋体" w:eastAsia="宋体" w:cs="宋体"/>
          <w:color w:val="auto"/>
          <w:sz w:val="24"/>
          <w:szCs w:val="24"/>
          <w:lang w:val="en-US" w:eastAsia="zh-CN"/>
        </w:rPr>
        <w:t>。</w:t>
      </w:r>
    </w:p>
    <w:p>
      <w:pPr>
        <w:pStyle w:val="5"/>
        <w:widowControl/>
        <w:spacing w:before="0" w:beforeAutospacing="0" w:after="0" w:afterAutospacing="0"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：采购人指定地点。</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九、服务车辆具体要求</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1、供应商车辆数量，须具备9台新能源客车（49座及其以上）（5年以内）。响应文件中须提供上述车辆行车执照扫描件，并可以开具正规发票。</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响应文件中须提供驾驶员相关手续，提供驾驶员道路运输从业人员从业资格证。驾驶员需具有接待经验，要求统一着装，带工牌服务，责任心强。活动用车前，须配合交通管理及相关部门进行车辆及驾驶员的各项检查工作。</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3、供应商须具备相关租车服务经验，响应文件中须提供相关合同证明</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提供的大型客车必须符合国家车辆行驶安全标准，达到汽车检测部门检验合格的标准。车辆必须合法有效、证照齐全、车辆技术性能良好，并按时进行机动车年度检审、环保检审，性能能够满足采购方工作需要，安全性、可靠性高。供应商负责对第三者险、司乘坐位险、投保期限涵盖租赁合同全过程。供应商购买司乘座位险的保额需达到每个坐位40万元人民币以上，第三者责任险需达到20万元以上。车辆不存在违法纪录、不存在交通事故及未了结纠纷。响应文件中需提供上述车辆所投保险单扫描件。</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供应商所提供车辆须车况良好、车辆的灯光、雨刮、转向、制动、轮胎等齐全有效，符合机动车运行标准，车辆的随车应急工具齐备。车辆须经过安全部门审核，安全设施配备完整，车辆应配备规定数量的灭火器、安全锤等安全措施，确保各项安全措施处于适用状态。车辆要有行车记录仪或GPS，便于随时提取影像资料。在服务过程中如发生交通意外，由中标供应商负责处理并赔偿，赔偿事宜按国家有关规定执行。</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车辆内外干净整洁，不得有破损、掉漆等现象。不得在车辆玻璃与车体粘贴各种标志、车辆告示牌及广告宣传标语等。其中：大中型客车为豪华型商务用车，玻璃为双层真空无霜玻璃，车内冷暖空调状态良好，具备话筒、能播放宣传片的车载电视。每日消毒。</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7、供应商必须按照采购方的用途要求提供车型，不得借故随意改变车型。</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8、供应商必须按照租赁方规定的线路、时间提供服务，不得随意变更和调整。</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9、供应商须免费提供车上用水及纸巾，负责各种保险，油费，车辆停泊，路桥，违章罚款，司机工资伙食等费用。</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10、供应商若因汽车年检、交通违章、交通事故及其他个人事务等，造成误工时，应协助承租方及时处理，调配其它车辆。</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11、防疫要求：车辆须每日消毒。</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24673"/>
      <w:bookmarkStart w:id="31" w:name="_Toc20063"/>
      <w:bookmarkStart w:id="32" w:name="_Toc5632"/>
      <w:bookmarkStart w:id="33"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01月27</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02月07</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2022年01月27</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02月07</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行  号：103261005426</w:t>
      </w:r>
    </w:p>
    <w:p>
      <w:pPr>
        <w:pStyle w:val="2"/>
        <w:spacing w:before="1" w:line="360" w:lineRule="auto"/>
        <w:ind w:firstLine="480" w:firstLineChars="200"/>
        <w:rPr>
          <w:rFonts w:hint="eastAsia" w:ascii="宋体" w:hAnsi="宋体" w:eastAsia="宋体" w:cs="宋体"/>
          <w:color w:val="auto"/>
          <w:sz w:val="24"/>
          <w:szCs w:val="24"/>
        </w:rPr>
      </w:pPr>
      <w:bookmarkStart w:id="34" w:name="_Toc21045"/>
      <w:bookmarkStart w:id="35" w:name="_Toc13155"/>
      <w:bookmarkStart w:id="36" w:name="_Toc4275"/>
      <w:bookmarkStart w:id="37" w:name="_Toc9924"/>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7040"/>
      <w:bookmarkStart w:id="40" w:name="_Toc27454"/>
      <w:bookmarkStart w:id="41" w:name="_Toc21750"/>
      <w:bookmarkStart w:id="42" w:name="_Toc8933"/>
      <w:bookmarkStart w:id="43" w:name="_Toc24064"/>
      <w:bookmarkStart w:id="44" w:name="_Toc4021"/>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2022年02月07</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02</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3842"/>
      <w:bookmarkStart w:id="46" w:name="_Toc6985"/>
      <w:bookmarkStart w:id="47" w:name="_Toc20434"/>
      <w:bookmarkStart w:id="48" w:name="_Toc29762"/>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4777"/>
      <w:bookmarkStart w:id="50" w:name="_Toc25126"/>
      <w:bookmarkStart w:id="51" w:name="_Toc22125"/>
      <w:bookmarkStart w:id="52" w:name="_Toc2963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ind w:firstLine="480" w:firstLineChars="200"/>
        <w:rPr>
          <w:rFonts w:hint="eastAsia" w:ascii="宋体" w:hAnsi="宋体" w:eastAsia="宋体" w:cs="宋体"/>
          <w:color w:val="auto"/>
          <w:kern w:val="2"/>
          <w:sz w:val="24"/>
          <w:szCs w:val="24"/>
          <w:lang w:val="en-US" w:eastAsia="zh-CN" w:bidi="ar-SA"/>
        </w:rPr>
      </w:pPr>
      <w:bookmarkStart w:id="53" w:name="_Hlk530683232"/>
      <w:bookmarkStart w:id="54" w:name="_Toc41850240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采 购 人：黑龙江省交投高速公路运营管理有限公司哈尔滨南养护分公司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   址：绥满高速北100米处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 系 人：葛伟勋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   话：</w:t>
      </w:r>
      <w:bookmarkEnd w:id="53"/>
      <w:bookmarkEnd w:id="54"/>
      <w:r>
        <w:rPr>
          <w:rFonts w:hint="eastAsia" w:ascii="宋体" w:hAnsi="宋体" w:eastAsia="宋体" w:cs="宋体"/>
          <w:color w:val="auto"/>
          <w:kern w:val="2"/>
          <w:sz w:val="24"/>
          <w:szCs w:val="24"/>
          <w:lang w:val="en-US" w:eastAsia="zh-CN" w:bidi="ar-SA"/>
        </w:rPr>
        <w:t>15304516000</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pPr>
        <w:rPr>
          <w:rFonts w:hint="eastAsia" w:ascii="宋体" w:hAnsi="宋体" w:eastAsia="宋体" w:cs="宋体"/>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06742"/>
    <w:rsid w:val="42706742"/>
    <w:rsid w:val="6E804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2022-01-26T07:35:00Z</dcterms:created>
  <dc:creator>蒋宏伟</dc:creator>
  <cp:lastModifiedBy>蒋宏伟</cp:lastModifiedBy>
  <dcterms:modified xsi:type="dcterms:W3CDTF">2022-01-26T07:36:35Z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BFE068B48A8C44ECB8672884F295D660</vt:lpwstr>
  </property>
</Properties>
</file>