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3"/>
        <w:rPr>
          <w:color w:val="auto"/>
        </w:rPr>
      </w:pPr>
    </w:p>
    <w:p>
      <w:pPr>
        <w:snapToGrid w:val="0"/>
        <w:ind w:right="-58"/>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snapToGrid w:val="0"/>
        <w:ind w:right="-58"/>
        <w:jc w:val="center"/>
        <w:rPr>
          <w:rFonts w:hint="eastAsia" w:ascii="宋体" w:hAnsi="宋体"/>
          <w:bCs/>
          <w:color w:val="auto"/>
          <w:sz w:val="24"/>
          <w:lang w:val="en-US" w:eastAsia="zh-CN"/>
        </w:rPr>
      </w:pPr>
      <w:r>
        <w:rPr>
          <w:rFonts w:hint="eastAsia" w:ascii="宋体" w:hAnsi="宋体"/>
          <w:b/>
          <w:color w:val="auto"/>
          <w:sz w:val="44"/>
          <w:szCs w:val="44"/>
          <w:lang w:val="en-US" w:eastAsia="zh-CN"/>
        </w:rPr>
        <w:t>哈伊运营分公司防雷检测项目</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color w:val="auto"/>
          <w:sz w:val="28"/>
          <w:szCs w:val="28"/>
        </w:rPr>
      </w:pPr>
    </w:p>
    <w:p>
      <w:pPr>
        <w:spacing w:line="360" w:lineRule="auto"/>
        <w:rPr>
          <w:rFonts w:hint="eastAsia" w:ascii="宋体" w:hAnsi="宋体"/>
          <w:b/>
          <w:color w:val="auto"/>
          <w:sz w:val="84"/>
          <w:szCs w:val="84"/>
        </w:rPr>
      </w:pPr>
      <w:r>
        <w:rPr>
          <w:rFonts w:hint="eastAsia" w:ascii="仿宋_GB2312" w:hAnsi="仿宋_GB2312" w:eastAsia="仿宋_GB2312" w:cs="仿宋_GB2312"/>
          <w:color w:val="auto"/>
          <w:sz w:val="32"/>
          <w:szCs w:val="32"/>
        </w:rPr>
        <w:t xml:space="preserve">    </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FYZB-2021-1009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10"/>
        <w:ind w:firstLine="643"/>
        <w:rPr>
          <w:rFonts w:ascii="宋体" w:hAnsi="宋体" w:cs="Arial"/>
          <w:b/>
          <w:color w:val="auto"/>
          <w:sz w:val="32"/>
          <w:szCs w:val="32"/>
        </w:rPr>
      </w:pPr>
    </w:p>
    <w:p>
      <w:pPr>
        <w:rPr>
          <w:rFonts w:ascii="宋体" w:hAnsi="宋体" w:cs="Arial"/>
          <w:b/>
          <w:color w:val="auto"/>
          <w:sz w:val="32"/>
          <w:szCs w:val="32"/>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32"/>
          <w:szCs w:val="32"/>
          <w:lang w:val="en-US" w:eastAsia="zh-CN"/>
        </w:rPr>
      </w:pPr>
      <w:r>
        <w:rPr>
          <w:rFonts w:hint="eastAsia" w:ascii="宋体" w:hAnsi="宋体"/>
          <w:b/>
          <w:color w:val="auto"/>
          <w:sz w:val="32"/>
          <w:szCs w:val="32"/>
          <w:lang w:val="en-US" w:eastAsia="zh-CN"/>
        </w:rPr>
        <w:t>哈伊运营分公司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3"/>
        <w:rPr>
          <w:color w:val="auto"/>
        </w:rPr>
      </w:pPr>
    </w:p>
    <w:p>
      <w:pPr>
        <w:pStyle w:val="15"/>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5"/>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11570245"/>
      <w:bookmarkStart w:id="3" w:name="_Toc185037690"/>
      <w:bookmarkStart w:id="4" w:name="_Toc156585290"/>
      <w:bookmarkStart w:id="5" w:name="_Toc201565762"/>
      <w:bookmarkStart w:id="6" w:name="_Toc145806782"/>
    </w:p>
    <w:p>
      <w:pPr>
        <w:pStyle w:val="5"/>
        <w:rPr>
          <w:rFonts w:ascii="黑体"/>
          <w:color w:val="auto"/>
          <w:szCs w:val="32"/>
        </w:rPr>
      </w:pPr>
      <w:bookmarkStart w:id="7" w:name="_Toc7346"/>
      <w:r>
        <w:rPr>
          <w:rFonts w:hint="eastAsia"/>
          <w:color w:val="auto"/>
        </w:rPr>
        <w:t>第一章  竞价采购公告</w:t>
      </w:r>
      <w:bookmarkEnd w:id="7"/>
    </w:p>
    <w:bookmarkEnd w:id="0"/>
    <w:p>
      <w:pPr>
        <w:pStyle w:val="3"/>
        <w:ind w:firstLine="480" w:firstLineChars="200"/>
        <w:rPr>
          <w:rFonts w:hint="default" w:ascii="Times New Roman" w:hAnsi="Times New Roman" w:cs="Times New Roman"/>
          <w:color w:val="auto"/>
          <w:sz w:val="21"/>
          <w:szCs w:val="21"/>
        </w:rPr>
      </w:pPr>
      <w:bookmarkStart w:id="8" w:name="OLE_LINK5"/>
      <w:bookmarkStart w:id="9" w:name="OLE_LINK3"/>
      <w:bookmarkStart w:id="10" w:name="OLE_LINK6"/>
      <w:bookmarkStart w:id="11" w:name="OLE_LINK4"/>
      <w:bookmarkStart w:id="12" w:name="OLE_LINK1"/>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黑龙江省交通投资集团有限公司哈伊运营分公司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黑龙江省交通投资集团有限公司哈伊运营分公司防雷检测项目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6"/>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FYZB-2021-1009</w:t>
      </w:r>
    </w:p>
    <w:p>
      <w:pPr>
        <w:pStyle w:val="3"/>
        <w:ind w:firstLine="480" w:firstLineChars="200"/>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黑龙江省交通投资集团有限公司哈伊运营分公司防雷检测项目</w:t>
      </w:r>
    </w:p>
    <w:p>
      <w:pPr>
        <w:keepNext w:val="0"/>
        <w:keepLines w:val="0"/>
        <w:pageBreakBefore w:val="0"/>
        <w:widowControl w:val="0"/>
        <w:kinsoku/>
        <w:wordWrap/>
        <w:overflowPunct/>
        <w:topLinePunct w:val="0"/>
        <w:autoSpaceDE/>
        <w:autoSpaceDN/>
        <w:bidi w:val="0"/>
        <w:adjustRightInd/>
        <w:snapToGrid w:val="0"/>
        <w:ind w:left="2039" w:leftChars="228" w:right="839" w:hanging="1560" w:hangingChars="650"/>
        <w:textAlignment w:val="auto"/>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防雷检测项目</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7"/>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lang w:val="en-US" w:eastAsia="zh-CN"/>
        </w:rPr>
        <w:t>1.4付款方式：检测完成7日内付款。</w:t>
      </w:r>
    </w:p>
    <w:p>
      <w:pPr>
        <w:pStyle w:val="17"/>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合同签订后5日内。</w:t>
      </w:r>
    </w:p>
    <w:p>
      <w:pPr>
        <w:pStyle w:val="17"/>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鹤哈高速路段</w:t>
      </w:r>
      <w:r>
        <w:rPr>
          <w:rFonts w:hint="eastAsia" w:cs="宋体"/>
          <w:color w:val="auto"/>
          <w:highlight w:val="none"/>
          <w:lang w:eastAsia="zh-CN"/>
        </w:rPr>
        <w:t>。</w:t>
      </w:r>
    </w:p>
    <w:p>
      <w:pPr>
        <w:pStyle w:val="17"/>
        <w:widowControl/>
        <w:spacing w:before="0" w:beforeAutospacing="0" w:after="0" w:afterAutospacing="0" w:line="360" w:lineRule="auto"/>
        <w:ind w:firstLine="480"/>
        <w:rPr>
          <w:rFonts w:hint="default" w:cs="宋体"/>
          <w:color w:val="auto"/>
          <w:highlight w:val="none"/>
          <w:lang w:val="en-US" w:eastAsia="zh-CN"/>
        </w:rPr>
      </w:pPr>
      <w:bookmarkStart w:id="14" w:name="_Toc8577"/>
      <w:r>
        <w:rPr>
          <w:rFonts w:hint="eastAsia" w:cs="宋体"/>
          <w:color w:val="auto"/>
          <w:highlight w:val="none"/>
          <w:lang w:val="en-US" w:eastAsia="zh-CN"/>
        </w:rPr>
        <w:t>1.7质 保 期：一年。</w:t>
      </w:r>
    </w:p>
    <w:p>
      <w:pPr>
        <w:pStyle w:val="6"/>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6"/>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3.1采购预算金额为46000.00元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w:t>
      </w:r>
      <w:r>
        <w:rPr>
          <w:rFonts w:hint="eastAsia" w:ascii="宋体" w:hAnsi="宋体"/>
          <w:color w:val="auto"/>
          <w:sz w:val="24"/>
          <w:lang w:val="en-US" w:eastAsia="zh-CN"/>
        </w:rPr>
        <w:t>开具3%</w:t>
      </w:r>
      <w:bookmarkStart w:id="26" w:name="_GoBack"/>
      <w:bookmarkEnd w:id="26"/>
      <w:r>
        <w:rPr>
          <w:rFonts w:hint="eastAsia" w:ascii="宋体" w:hAnsi="宋体"/>
          <w:color w:val="auto"/>
          <w:sz w:val="24"/>
          <w:lang w:val="en-US" w:eastAsia="zh-CN"/>
        </w:rPr>
        <w:t>增值税专用发票。）</w:t>
      </w:r>
    </w:p>
    <w:p>
      <w:pPr>
        <w:pStyle w:val="6"/>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10"/>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pStyle w:val="2"/>
        <w:ind w:firstLine="480" w:firstLineChars="200"/>
        <w:rPr>
          <w:rFonts w:hint="eastAsia"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w:t>
      </w:r>
      <w:r>
        <w:rPr>
          <w:rFonts w:hint="eastAsia" w:ascii="宋体" w:hAnsi="宋体"/>
          <w:color w:val="auto"/>
          <w:sz w:val="24"/>
          <w:lang w:val="en-US" w:eastAsia="zh-CN"/>
        </w:rPr>
        <w:t>8</w:t>
      </w:r>
      <w:r>
        <w:rPr>
          <w:rFonts w:hint="eastAsia" w:ascii="宋体" w:hAnsi="宋体"/>
          <w:color w:val="auto"/>
          <w:sz w:val="24"/>
        </w:rPr>
        <w:t>本项目不接受联合体参加。</w:t>
      </w:r>
    </w:p>
    <w:p>
      <w:pPr>
        <w:pStyle w:val="6"/>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6"/>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6"/>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7"/>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46000.00元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 xml:space="preserve">1通过“塔比星产业互联网平台”（网址： </w:t>
      </w:r>
      <w:r>
        <w:rPr>
          <w:rFonts w:hint="eastAsia" w:ascii="宋体" w:hAnsi="宋体"/>
          <w:color w:val="auto"/>
          <w:sz w:val="24"/>
          <w:lang w:val="en-US" w:eastAsia="zh-CN"/>
        </w:rPr>
        <w:fldChar w:fldCharType="begin"/>
      </w:r>
      <w:r>
        <w:rPr>
          <w:rFonts w:hint="eastAsia" w:ascii="宋体" w:hAnsi="宋体"/>
          <w:color w:val="auto"/>
          <w:sz w:val="24"/>
          <w:lang w:val="en-US" w:eastAsia="zh-CN"/>
        </w:rPr>
        <w:instrText xml:space="preserve"> HYPERLINK "https://www.tabe.cn/）进行报名。经采购人对主体资格（企业规模、营业执照等）与资信证明材料审核通过，方可参与本次竞价招标。" </w:instrText>
      </w:r>
      <w:r>
        <w:rPr>
          <w:rFonts w:hint="eastAsia" w:ascii="宋体" w:hAnsi="宋体"/>
          <w:color w:val="auto"/>
          <w:sz w:val="24"/>
          <w:lang w:val="en-US" w:eastAsia="zh-CN"/>
        </w:rPr>
        <w:fldChar w:fldCharType="separate"/>
      </w:r>
      <w:r>
        <w:rPr>
          <w:rFonts w:hint="eastAsia" w:ascii="宋体" w:hAnsi="宋体"/>
          <w:color w:val="auto"/>
          <w:sz w:val="24"/>
          <w:lang w:val="en-US" w:eastAsia="zh-CN"/>
        </w:rPr>
        <w:t>https://www.tabe.cn/）进行报名。经采购人对主体资格（企业规模、营业执照等）与资信证明材料审核通过，方可参与本次竞价招标。</w:t>
      </w:r>
      <w:r>
        <w:rPr>
          <w:rFonts w:hint="eastAsia" w:ascii="宋体" w:hAnsi="宋体"/>
          <w:color w:val="auto"/>
          <w:sz w:val="24"/>
          <w:lang w:val="en-US" w:eastAsia="zh-CN"/>
        </w:rPr>
        <w:fldChar w:fldCharType="end"/>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eastAsia="宋体"/>
          <w:color w:val="auto"/>
          <w:sz w:val="24"/>
          <w:lang w:eastAsia="zh-CN"/>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2021年10月18日10时00分</w:t>
      </w:r>
      <w:r>
        <w:rPr>
          <w:rFonts w:hint="eastAsia" w:ascii="宋体" w:hAnsi="宋体"/>
          <w:color w:val="auto"/>
          <w:sz w:val="24"/>
        </w:rPr>
        <w:t>。</w:t>
      </w:r>
    </w:p>
    <w:p>
      <w:pPr>
        <w:pStyle w:val="3"/>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3"/>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3"/>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6"/>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6"/>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6"/>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6"/>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采 购 人：黑龙江省交通投资集团有限公司哈伊运营分公司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址：哈尔滨市松北区乐业镇</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人：张新全</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bCs/>
          <w:color w:val="auto"/>
          <w:sz w:val="24"/>
          <w:lang w:val="en-US" w:eastAsia="zh-CN"/>
        </w:rPr>
        <w:t>：13804608880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3"/>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3"/>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882C2C"/>
    <w:rsid w:val="02CB2ECE"/>
    <w:rsid w:val="03910237"/>
    <w:rsid w:val="03AE58DF"/>
    <w:rsid w:val="04655ECF"/>
    <w:rsid w:val="05A93BCF"/>
    <w:rsid w:val="05CE5594"/>
    <w:rsid w:val="060222F5"/>
    <w:rsid w:val="06275190"/>
    <w:rsid w:val="06A145E6"/>
    <w:rsid w:val="070F7D75"/>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1B33772"/>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CE2A1C"/>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AF7ED7"/>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F570874"/>
    <w:rsid w:val="30455344"/>
    <w:rsid w:val="30880E08"/>
    <w:rsid w:val="3090164F"/>
    <w:rsid w:val="30BD58AE"/>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4D4070"/>
    <w:rsid w:val="37B51DAA"/>
    <w:rsid w:val="37BC545C"/>
    <w:rsid w:val="37C11A1F"/>
    <w:rsid w:val="38120073"/>
    <w:rsid w:val="390E4606"/>
    <w:rsid w:val="392D5AF1"/>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777676"/>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9364FC"/>
    <w:rsid w:val="50BA2E4A"/>
    <w:rsid w:val="50E361C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A14CB5"/>
    <w:rsid w:val="5EDA6CAA"/>
    <w:rsid w:val="5EDC5F32"/>
    <w:rsid w:val="5F2933AA"/>
    <w:rsid w:val="5FC021DC"/>
    <w:rsid w:val="5FE62E86"/>
    <w:rsid w:val="5FF64D19"/>
    <w:rsid w:val="606B5755"/>
    <w:rsid w:val="609251F4"/>
    <w:rsid w:val="611B76A6"/>
    <w:rsid w:val="6194608B"/>
    <w:rsid w:val="61986D3B"/>
    <w:rsid w:val="61B7414F"/>
    <w:rsid w:val="62EB1E2B"/>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892FE1"/>
    <w:rsid w:val="6CB959E0"/>
    <w:rsid w:val="6CBA1093"/>
    <w:rsid w:val="6CD17CE1"/>
    <w:rsid w:val="6CE46051"/>
    <w:rsid w:val="6D772385"/>
    <w:rsid w:val="6D7A0D8A"/>
    <w:rsid w:val="6D8502FC"/>
    <w:rsid w:val="6DD852B8"/>
    <w:rsid w:val="6E703FE4"/>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jc w:val="center"/>
      <w:outlineLvl w:val="0"/>
    </w:pPr>
    <w:rPr>
      <w:rFonts w:eastAsia="黑体"/>
      <w:bCs/>
      <w:kern w:val="44"/>
      <w:sz w:val="32"/>
      <w:szCs w:val="44"/>
    </w:rPr>
  </w:style>
  <w:style w:type="paragraph" w:styleId="6">
    <w:name w:val="heading 2"/>
    <w:basedOn w:val="1"/>
    <w:next w:val="1"/>
    <w:unhideWhenUsed/>
    <w:qFormat/>
    <w:uiPriority w:val="0"/>
    <w:pPr>
      <w:keepNext/>
      <w:keepLines/>
      <w:outlineLvl w:val="1"/>
    </w:pPr>
    <w:rPr>
      <w:rFonts w:ascii="Arial" w:hAnsi="Arial"/>
      <w:b/>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1"/>
    <w:rPr>
      <w:szCs w:val="21"/>
    </w:rPr>
  </w:style>
  <w:style w:type="paragraph" w:styleId="4">
    <w:name w:val="Date"/>
    <w:basedOn w:val="1"/>
    <w:next w:val="1"/>
    <w:qFormat/>
    <w:uiPriority w:val="0"/>
    <w:pPr>
      <w:ind w:left="100" w:leftChars="2500"/>
    </w:pPr>
  </w:style>
  <w:style w:type="paragraph" w:styleId="7">
    <w:name w:val="Normal Indent"/>
    <w:basedOn w:val="1"/>
    <w:qFormat/>
    <w:uiPriority w:val="0"/>
    <w:pPr>
      <w:ind w:firstLine="420" w:firstLineChars="200"/>
    </w:pPr>
  </w:style>
  <w:style w:type="paragraph" w:styleId="8">
    <w:name w:val="toa heading"/>
    <w:basedOn w:val="1"/>
    <w:next w:val="1"/>
    <w:semiHidden/>
    <w:qFormat/>
    <w:uiPriority w:val="0"/>
    <w:pPr>
      <w:spacing w:before="120"/>
    </w:pPr>
    <w:rPr>
      <w:rFonts w:ascii="Arial" w:hAnsi="Arial"/>
      <w:sz w:val="24"/>
      <w:szCs w:val="20"/>
    </w:rPr>
  </w:style>
  <w:style w:type="paragraph" w:styleId="9">
    <w:name w:val="Body Text Indent"/>
    <w:basedOn w:val="1"/>
    <w:next w:val="10"/>
    <w:qFormat/>
    <w:uiPriority w:val="0"/>
    <w:pPr>
      <w:ind w:firstLine="420"/>
    </w:pPr>
  </w:style>
  <w:style w:type="paragraph" w:styleId="10">
    <w:name w:val="Body Text First Indent 2"/>
    <w:basedOn w:val="9"/>
    <w:next w:val="1"/>
    <w:qFormat/>
    <w:uiPriority w:val="99"/>
    <w:pPr>
      <w:ind w:firstLine="200" w:firstLineChars="200"/>
    </w:pPr>
    <w:rPr>
      <w:color w:val="000000"/>
    </w:rPr>
  </w:style>
  <w:style w:type="paragraph" w:styleId="11">
    <w:name w:val="Plain Text"/>
    <w:basedOn w:val="1"/>
    <w:qFormat/>
    <w:uiPriority w:val="0"/>
    <w:rPr>
      <w:rFonts w:ascii="宋体" w:hAnsi="Courier New"/>
      <w:color w:val="000000"/>
      <w:kern w:val="0"/>
      <w:szCs w:val="21"/>
    </w:rPr>
  </w:style>
  <w:style w:type="paragraph" w:styleId="12">
    <w:name w:val="Body Text Indent 2"/>
    <w:basedOn w:val="1"/>
    <w:qFormat/>
    <w:uiPriority w:val="0"/>
    <w:pPr>
      <w:ind w:firstLine="624"/>
    </w:pPr>
    <w:rPr>
      <w:rFonts w:ascii="仿宋_GB2312" w:eastAsia="仿宋_GB2312"/>
      <w:sz w:val="2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6">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5</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2021-10-12T08:07:34Z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