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0"/>
        </w:tabs>
        <w:snapToGrid w:val="0"/>
        <w:rPr>
          <w:b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tabs>
          <w:tab w:val="left" w:pos="500"/>
        </w:tabs>
        <w:snapToGrid w:val="0"/>
        <w:jc w:val="center"/>
        <w:rPr>
          <w:rFonts w:hint="default" w:ascii="宋体" w:hAnsi="宋体"/>
          <w:b/>
          <w:color w:val="auto"/>
          <w:sz w:val="44"/>
          <w:szCs w:val="44"/>
          <w:lang w:val="en-US" w:eastAsia="zh-CN"/>
        </w:rPr>
      </w:pPr>
      <w:bookmarkStart w:id="26" w:name="_GoBack"/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黑龙江省八达路桥建设有限公司宁安分公司</w:t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/>
          <w:b/>
          <w:color w:val="auto"/>
          <w:sz w:val="84"/>
          <w:szCs w:val="84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宋体" w:hAnsi="宋体" w:eastAsia="宋体"/>
          <w:b/>
          <w:color w:val="auto"/>
          <w:szCs w:val="21"/>
          <w:lang w:eastAsia="zh-CN"/>
        </w:rPr>
      </w:pP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招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eastAsia="zh-CN"/>
        </w:rPr>
        <w:t>标</w:t>
      </w:r>
      <w:r>
        <w:rPr>
          <w:rFonts w:hint="eastAsia" w:ascii="宋体" w:hAnsi="宋体"/>
          <w:b/>
          <w:color w:val="auto"/>
          <w:sz w:val="84"/>
          <w:szCs w:val="84"/>
        </w:rPr>
        <w:t xml:space="preserve"> </w:t>
      </w:r>
      <w:r>
        <w:rPr>
          <w:rFonts w:hint="eastAsia" w:ascii="宋体" w:hAnsi="宋体"/>
          <w:b/>
          <w:color w:val="auto"/>
          <w:sz w:val="84"/>
          <w:szCs w:val="84"/>
          <w:lang w:val="en-US" w:eastAsia="zh-CN"/>
        </w:rPr>
        <w:t>公 告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项目编号：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【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宁采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】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2019-0276</w:t>
      </w: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pStyle w:val="9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>
      <w:pPr>
        <w:rPr>
          <w:rFonts w:ascii="宋体" w:hAnsi="宋体" w:cs="Arial"/>
          <w:b/>
          <w:color w:val="auto"/>
          <w:sz w:val="32"/>
          <w:szCs w:val="32"/>
        </w:rPr>
      </w:pPr>
    </w:p>
    <w:p>
      <w:pPr>
        <w:snapToGrid w:val="0"/>
        <w:spacing w:before="120" w:beforeLines="50" w:line="480" w:lineRule="auto"/>
        <w:jc w:val="center"/>
        <w:rPr>
          <w:rFonts w:hint="default" w:ascii="宋体" w:hAnsi="宋体" w:eastAsia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招标</w:t>
      </w:r>
      <w:r>
        <w:rPr>
          <w:rFonts w:hint="eastAsia" w:ascii="宋体" w:hAnsi="宋体"/>
          <w:b/>
          <w:color w:val="auto"/>
          <w:sz w:val="32"/>
          <w:szCs w:val="32"/>
        </w:rPr>
        <w:t>人：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黑龙江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省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八达路桥建设有限公司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宁安分公司</w:t>
      </w:r>
    </w:p>
    <w:p>
      <w:pPr>
        <w:spacing w:line="660" w:lineRule="exact"/>
        <w:jc w:val="center"/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二〇二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cs="Times New Roman"/>
          <w:b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宋体" w:hAnsi="宋体" w:eastAsia="宋体" w:cs="Times New Roman"/>
          <w:b/>
          <w:color w:val="auto"/>
          <w:kern w:val="2"/>
          <w:sz w:val="32"/>
          <w:szCs w:val="32"/>
          <w:lang w:val="en-US" w:eastAsia="zh-CN" w:bidi="ar-SA"/>
        </w:rPr>
        <w:t>月</w:t>
      </w:r>
    </w:p>
    <w:p>
      <w:pPr>
        <w:snapToGrid w:val="0"/>
        <w:spacing w:before="120" w:beforeLines="50" w:after="120" w:afterLines="50" w:line="300" w:lineRule="auto"/>
        <w:ind w:left="540" w:leftChars="257"/>
        <w:jc w:val="center"/>
        <w:rPr>
          <w:rFonts w:ascii="Arial" w:hAnsi="Arial" w:eastAsia="微软雅黑"/>
          <w:b/>
          <w:color w:val="auto"/>
          <w:sz w:val="24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754" w:gutter="0"/>
          <w:cols w:space="425" w:num="1"/>
          <w:docGrid w:linePitch="312" w:charSpace="0"/>
        </w:sect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目  录</w:t>
      </w:r>
    </w:p>
    <w:p>
      <w:pPr>
        <w:pStyle w:val="2"/>
        <w:rPr>
          <w:color w:val="auto"/>
        </w:rPr>
      </w:pPr>
    </w:p>
    <w:p>
      <w:pPr>
        <w:pStyle w:val="14"/>
        <w:tabs>
          <w:tab w:val="right" w:leader="dot" w:pos="8787"/>
          <w:tab w:val="clear" w:pos="8539"/>
        </w:tabs>
      </w:pPr>
      <w:r>
        <w:rPr>
          <w:b w:val="0"/>
          <w:color w:val="auto"/>
          <w:sz w:val="24"/>
        </w:rPr>
        <w:fldChar w:fldCharType="begin"/>
      </w:r>
      <w:r>
        <w:rPr>
          <w:b w:val="0"/>
          <w:color w:val="auto"/>
          <w:sz w:val="24"/>
        </w:rPr>
        <w:instrText xml:space="preserve"> TOC \o "1-3" \h \z \u </w:instrText>
      </w:r>
      <w:r>
        <w:rPr>
          <w:b w:val="0"/>
          <w:color w:val="auto"/>
          <w:sz w:val="24"/>
        </w:rPr>
        <w:fldChar w:fldCharType="separate"/>
      </w:r>
      <w:r>
        <w:rPr>
          <w:color w:val="auto"/>
        </w:rPr>
        <w:fldChar w:fldCharType="begin"/>
      </w:r>
      <w:r>
        <w:instrText xml:space="preserve"> HYPERLINK \l _Toc22509 </w:instrText>
      </w:r>
      <w:r>
        <w:fldChar w:fldCharType="separate"/>
      </w:r>
      <w:r>
        <w:rPr>
          <w:rFonts w:hint="eastAsia"/>
        </w:rPr>
        <w:t>第一章  竞价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公告</w:t>
      </w:r>
      <w:r>
        <w:tab/>
      </w:r>
      <w:r>
        <w:fldChar w:fldCharType="begin"/>
      </w:r>
      <w:r>
        <w:instrText xml:space="preserve"> PAGEREF _Toc22509 </w:instrText>
      </w:r>
      <w:r>
        <w:fldChar w:fldCharType="separate"/>
      </w:r>
      <w:r>
        <w:t>3</w:t>
      </w:r>
      <w:r>
        <w:fldChar w:fldCharType="end"/>
      </w:r>
      <w:r>
        <w:rPr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_Toc23394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一、项目概况</w:t>
      </w:r>
      <w:r>
        <w:tab/>
      </w:r>
      <w:r>
        <w:fldChar w:fldCharType="begin"/>
      </w:r>
      <w:r>
        <w:instrText xml:space="preserve"> PAGEREF _Toc23394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_Toc8164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二、招标</w:t>
      </w:r>
      <w:r>
        <w:rPr>
          <w:rFonts w:hint="eastAsia"/>
        </w:rPr>
        <w:t>方式</w:t>
      </w:r>
      <w:r>
        <w:tab/>
      </w:r>
      <w:r>
        <w:fldChar w:fldCharType="begin"/>
      </w:r>
      <w:r>
        <w:instrText xml:space="preserve"> PAGEREF _Toc8164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_Toc24045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eastAsia="zh-CN"/>
        </w:rPr>
        <w:t>三、招标</w:t>
      </w:r>
      <w:r>
        <w:rPr>
          <w:rFonts w:hint="eastAsia"/>
        </w:rPr>
        <w:t>预算</w:t>
      </w:r>
      <w:r>
        <w:tab/>
      </w:r>
      <w:r>
        <w:fldChar w:fldCharType="begin"/>
      </w:r>
      <w:r>
        <w:instrText xml:space="preserve"> PAGEREF _Toc24045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_Toc22676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四、意向供应商资格要求</w:t>
      </w:r>
      <w:r>
        <w:tab/>
      </w:r>
      <w:r>
        <w:fldChar w:fldCharType="begin"/>
      </w:r>
      <w:r>
        <w:instrText xml:space="preserve"> PAGEREF _Toc22676 </w:instrText>
      </w:r>
      <w:r>
        <w:fldChar w:fldCharType="separate"/>
      </w:r>
      <w:r>
        <w:t>3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_Toc1030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五、</w:t>
      </w:r>
      <w:r>
        <w:rPr>
          <w:rFonts w:hint="eastAsia"/>
          <w:lang w:eastAsia="zh-CN"/>
        </w:rPr>
        <w:t>招标</w:t>
      </w:r>
      <w:r>
        <w:rPr>
          <w:rFonts w:hint="eastAsia"/>
        </w:rPr>
        <w:t>文件的获取</w:t>
      </w:r>
      <w:r>
        <w:tab/>
      </w:r>
      <w:r>
        <w:fldChar w:fldCharType="begin"/>
      </w:r>
      <w:r>
        <w:instrText xml:space="preserve"> PAGEREF _Toc1030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_Toc17001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六、投标保证金</w:t>
      </w:r>
      <w:r>
        <w:tab/>
      </w:r>
      <w:r>
        <w:fldChar w:fldCharType="begin"/>
      </w:r>
      <w:r>
        <w:instrText xml:space="preserve"> PAGEREF _Toc17001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_Toc19529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七、</w:t>
      </w:r>
      <w:r>
        <w:rPr>
          <w:rFonts w:hint="eastAsia"/>
        </w:rPr>
        <w:t>竞价安排</w:t>
      </w:r>
      <w:r>
        <w:tab/>
      </w:r>
      <w:r>
        <w:fldChar w:fldCharType="begin"/>
      </w:r>
      <w:r>
        <w:instrText xml:space="preserve"> PAGEREF _Toc19529 </w:instrText>
      </w:r>
      <w:r>
        <w:fldChar w:fldCharType="separate"/>
      </w:r>
      <w:r>
        <w:t>4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_Toc2561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、确定成交供应商</w:t>
      </w:r>
      <w:r>
        <w:tab/>
      </w:r>
      <w:r>
        <w:fldChar w:fldCharType="begin"/>
      </w:r>
      <w:r>
        <w:instrText xml:space="preserve"> PAGEREF _Toc2561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_Toc32641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九</w:t>
      </w:r>
      <w:r>
        <w:rPr>
          <w:rFonts w:hint="eastAsia"/>
        </w:rPr>
        <w:t>、声明</w:t>
      </w:r>
      <w:r>
        <w:tab/>
      </w:r>
      <w:r>
        <w:fldChar w:fldCharType="begin"/>
      </w:r>
      <w:r>
        <w:instrText xml:space="preserve"> PAGEREF _Toc32641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_Toc4349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  <w:lang w:val="en-US" w:eastAsia="zh-CN"/>
        </w:rPr>
        <w:t>十</w:t>
      </w:r>
      <w:r>
        <w:rPr>
          <w:rFonts w:hint="eastAsia"/>
        </w:rPr>
        <w:t>、发布公告的媒介</w:t>
      </w:r>
      <w:r>
        <w:tab/>
      </w:r>
      <w:r>
        <w:fldChar w:fldCharType="begin"/>
      </w:r>
      <w:r>
        <w:instrText xml:space="preserve"> PAGEREF _Toc4349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15"/>
        <w:tabs>
          <w:tab w:val="right" w:leader="dot" w:pos="8787"/>
          <w:tab w:val="clear" w:pos="8505"/>
        </w:tabs>
      </w:pPr>
      <w:r>
        <w:rPr>
          <w:rFonts w:asciiTheme="minorEastAsia" w:hAnsiTheme="minorEastAsia" w:eastAsiaTheme="minorEastAsia"/>
          <w:color w:val="auto"/>
        </w:rPr>
        <w:fldChar w:fldCharType="begin"/>
      </w:r>
      <w:r>
        <w:rPr>
          <w:rFonts w:asciiTheme="minorEastAsia" w:hAnsiTheme="minorEastAsia" w:eastAsiaTheme="minorEastAsia"/>
        </w:rPr>
        <w:instrText xml:space="preserve"> HYPERLINK \l _Toc19653 </w:instrText>
      </w:r>
      <w:r>
        <w:rPr>
          <w:rFonts w:asciiTheme="minorEastAsia" w:hAnsiTheme="minorEastAsia" w:eastAsiaTheme="minorEastAsia"/>
        </w:rPr>
        <w:fldChar w:fldCharType="separate"/>
      </w:r>
      <w:r>
        <w:rPr>
          <w:rFonts w:hint="eastAsia"/>
        </w:rPr>
        <w:t>十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、联系方式</w:t>
      </w:r>
      <w:r>
        <w:tab/>
      </w:r>
      <w:r>
        <w:fldChar w:fldCharType="begin"/>
      </w:r>
      <w:r>
        <w:instrText xml:space="preserve"> PAGEREF _Toc19653 </w:instrText>
      </w:r>
      <w:r>
        <w:fldChar w:fldCharType="separate"/>
      </w:r>
      <w:r>
        <w:t>5</w:t>
      </w:r>
      <w:r>
        <w:fldChar w:fldCharType="end"/>
      </w:r>
      <w:r>
        <w:rPr>
          <w:rFonts w:asciiTheme="minorEastAsia" w:hAnsiTheme="minorEastAsia" w:eastAsiaTheme="minorEastAsia"/>
          <w:color w:val="auto"/>
        </w:rPr>
        <w:fldChar w:fldCharType="end"/>
      </w:r>
    </w:p>
    <w:p>
      <w:pPr>
        <w:pStyle w:val="4"/>
        <w:rPr>
          <w:rFonts w:asciiTheme="minorEastAsia" w:hAnsiTheme="minorEastAsia" w:eastAsiaTheme="minorEastAsia"/>
          <w:color w:val="auto"/>
        </w:rPr>
        <w:sectPr>
          <w:footerReference r:id="rId8" w:type="default"/>
          <w:pgSz w:w="11906" w:h="16838"/>
          <w:pgMar w:top="1701" w:right="1418" w:bottom="1418" w:left="1701" w:header="1091" w:footer="752" w:gutter="0"/>
          <w:cols w:space="425" w:num="1"/>
          <w:docGrid w:linePitch="312" w:charSpace="0"/>
        </w:sectPr>
      </w:pPr>
      <w:r>
        <w:rPr>
          <w:rFonts w:asciiTheme="minorEastAsia" w:hAnsiTheme="minorEastAsia" w:eastAsiaTheme="minorEastAsia"/>
          <w:color w:val="auto"/>
        </w:rPr>
        <w:fldChar w:fldCharType="end"/>
      </w:r>
      <w:bookmarkStart w:id="0" w:name="OLE_LINK2"/>
      <w:bookmarkStart w:id="1" w:name="_Toc145806782"/>
      <w:bookmarkStart w:id="2" w:name="_Toc185037690"/>
      <w:bookmarkStart w:id="3" w:name="_Toc211570245"/>
      <w:bookmarkStart w:id="4" w:name="_Toc201565762"/>
      <w:bookmarkStart w:id="5" w:name="_Toc156585290"/>
      <w:bookmarkStart w:id="6" w:name="_Toc60537380"/>
    </w:p>
    <w:p>
      <w:pPr>
        <w:pStyle w:val="4"/>
        <w:rPr>
          <w:rFonts w:ascii="黑体"/>
          <w:color w:val="auto"/>
          <w:szCs w:val="32"/>
        </w:rPr>
      </w:pPr>
      <w:bookmarkStart w:id="7" w:name="_Toc22509"/>
      <w:r>
        <w:rPr>
          <w:rFonts w:hint="eastAsia"/>
          <w:color w:val="auto"/>
        </w:rPr>
        <w:t>第一章  竞价</w:t>
      </w:r>
      <w:r>
        <w:rPr>
          <w:rFonts w:hint="eastAsia"/>
          <w:color w:val="auto"/>
          <w:lang w:eastAsia="zh-CN"/>
        </w:rPr>
        <w:t>招标</w:t>
      </w:r>
      <w:r>
        <w:rPr>
          <w:rFonts w:hint="eastAsia"/>
          <w:color w:val="auto"/>
        </w:rPr>
        <w:t>公告</w:t>
      </w:r>
      <w:bookmarkEnd w:id="7"/>
    </w:p>
    <w:bookmarkEnd w:id="0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8" w:name="_Toc23394"/>
      <w:bookmarkStart w:id="9" w:name="OLE_LINK4"/>
      <w:bookmarkStart w:id="10" w:name="OLE_LINK5"/>
      <w:bookmarkStart w:id="11" w:name="OLE_LINK6"/>
      <w:bookmarkStart w:id="12" w:name="OLE_LINK1"/>
      <w:bookmarkStart w:id="13" w:name="OLE_LINK3"/>
      <w:r>
        <w:rPr>
          <w:rFonts w:hint="eastAsia" w:cs="宋体"/>
          <w:color w:val="auto"/>
          <w:sz w:val="24"/>
          <w:szCs w:val="24"/>
          <w:lang w:val="en-US" w:eastAsia="zh-CN"/>
        </w:rPr>
        <w:t>我公</w:t>
      </w:r>
      <w:r>
        <w:rPr>
          <w:rStyle w:val="23"/>
          <w:rFonts w:hint="eastAsia" w:ascii="Times New Roman" w:hAnsi="Times New Roman" w:eastAsia="宋体"/>
          <w:b w:val="0"/>
          <w:bCs/>
          <w:sz w:val="24"/>
          <w:szCs w:val="24"/>
          <w:lang w:val="en-US" w:eastAsia="zh-CN"/>
        </w:rPr>
        <w:t>司对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lang w:val="en-US" w:eastAsia="zh-CN"/>
        </w:rPr>
        <w:t>省道（S316）海山公路与国道（G201）鹤大公路宁安镇北连接线工程项目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，公告内容如下：</w:t>
      </w:r>
    </w:p>
    <w:p>
      <w:pPr>
        <w:pStyle w:val="5"/>
        <w:rPr>
          <w:rFonts w:ascii="宋体" w:hAnsi="宋体"/>
          <w:color w:val="auto"/>
        </w:rPr>
      </w:pPr>
      <w:r>
        <w:rPr>
          <w:rFonts w:hint="eastAsia"/>
          <w:color w:val="auto"/>
        </w:rPr>
        <w:t>一、项目概况</w:t>
      </w:r>
      <w:bookmarkEnd w:id="8"/>
    </w:p>
    <w:p>
      <w:pPr>
        <w:snapToGrid w:val="0"/>
        <w:ind w:right="840" w:firstLine="480" w:firstLineChars="200"/>
        <w:rPr>
          <w:rFonts w:hint="default" w:ascii="宋体" w:hAnsi="宋体" w:eastAsia="微软雅黑"/>
          <w:color w:val="auto"/>
          <w:sz w:val="24"/>
          <w:highlight w:val="none"/>
          <w:lang w:val="en-US"/>
        </w:rPr>
      </w:pPr>
      <w:r>
        <w:rPr>
          <w:rFonts w:hint="eastAsia" w:ascii="宋体" w:hAnsi="宋体"/>
          <w:color w:val="auto"/>
          <w:sz w:val="24"/>
        </w:rPr>
        <w:t>1.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highlight w:val="none"/>
        </w:rPr>
        <w:t>项目编号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【宁采】2019-0276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</w:t>
      </w:r>
      <w:r>
        <w:rPr>
          <w:rFonts w:hint="eastAsia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/>
          <w:color w:val="auto"/>
          <w:sz w:val="24"/>
          <w:highlight w:val="none"/>
          <w:lang w:val="en-US"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1.3项目内容：</w:t>
      </w:r>
      <w:r>
        <w:rPr>
          <w:rStyle w:val="23"/>
          <w:rFonts w:hint="eastAsia" w:ascii="Times New Roman" w:hAnsi="Times New Roman"/>
          <w:b w:val="0"/>
          <w:bCs/>
          <w:sz w:val="24"/>
          <w:szCs w:val="24"/>
          <w:highlight w:val="none"/>
          <w:lang w:val="en-US" w:eastAsia="zh-CN"/>
        </w:rPr>
        <w:t>弃土、砂砾、级配碎石、基层混合料场内运输</w:t>
      </w:r>
      <w:r>
        <w:rPr>
          <w:rFonts w:hint="eastAsia"/>
          <w:color w:val="auto"/>
          <w:sz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详见附件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ascii="Times New Roman" w:hAnsi="Times New Roman" w:eastAsia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1.4付款方式</w:t>
      </w:r>
      <w:r>
        <w:rPr>
          <w:rFonts w:hint="eastAsia" w:cs="宋体"/>
          <w:color w:val="auto"/>
          <w:highlight w:val="none"/>
          <w:lang w:eastAsia="zh-CN"/>
        </w:rPr>
        <w:t>：以与招标人签订合同为准。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  <w:lang w:val="en-US" w:eastAsia="zh-CN"/>
        </w:rPr>
        <w:t>1.5</w:t>
      </w:r>
      <w:r>
        <w:rPr>
          <w:rFonts w:hint="eastAsia" w:cs="宋体"/>
          <w:color w:val="auto"/>
          <w:highlight w:val="none"/>
          <w:lang w:val="en-US" w:eastAsia="zh-CN"/>
        </w:rPr>
        <w:t>合同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期限：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根据</w:t>
      </w:r>
      <w:r>
        <w:rPr>
          <w:rFonts w:hint="eastAsia" w:cs="宋体"/>
          <w:color w:val="auto"/>
          <w:highlight w:val="none"/>
          <w:lang w:eastAsia="zh-CN"/>
        </w:rPr>
        <w:t>招标人</w:t>
      </w:r>
      <w:r>
        <w:rPr>
          <w:rFonts w:hint="eastAsia" w:ascii="宋体" w:hAnsi="宋体" w:cs="宋体"/>
          <w:color w:val="auto"/>
          <w:highlight w:val="none"/>
          <w:lang w:eastAsia="zh-CN"/>
        </w:rPr>
        <w:t>需求</w:t>
      </w:r>
      <w:r>
        <w:rPr>
          <w:rFonts w:hint="eastAsia" w:cs="宋体"/>
          <w:color w:val="auto"/>
          <w:highlight w:val="none"/>
          <w:lang w:val="en-US" w:eastAsia="zh-CN"/>
        </w:rPr>
        <w:t>供应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eastAsia" w:cs="宋体"/>
          <w:color w:val="auto"/>
          <w:highlight w:val="none"/>
          <w:lang w:eastAsia="zh-CN"/>
        </w:rPr>
      </w:pPr>
      <w:r>
        <w:rPr>
          <w:rFonts w:hint="eastAsia" w:ascii="宋体" w:hAnsi="宋体" w:cs="宋体"/>
          <w:color w:val="auto"/>
          <w:highlight w:val="none"/>
        </w:rPr>
        <w:t>1.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6</w:t>
      </w:r>
      <w:r>
        <w:rPr>
          <w:rFonts w:hint="eastAsia" w:cs="宋体"/>
          <w:color w:val="auto"/>
          <w:highlight w:val="none"/>
          <w:lang w:val="en-US" w:eastAsia="zh-CN"/>
        </w:rPr>
        <w:t>使用</w:t>
      </w:r>
      <w:r>
        <w:rPr>
          <w:rFonts w:hint="eastAsia" w:ascii="宋体" w:hAnsi="宋体" w:cs="宋体"/>
          <w:color w:val="auto"/>
          <w:highlight w:val="none"/>
        </w:rPr>
        <w:t>地点</w:t>
      </w:r>
      <w:r>
        <w:rPr>
          <w:rFonts w:hint="eastAsia" w:cs="宋体"/>
          <w:color w:val="auto"/>
          <w:highlight w:val="none"/>
          <w:lang w:eastAsia="zh-CN"/>
        </w:rPr>
        <w:t>：</w:t>
      </w:r>
      <w:r>
        <w:rPr>
          <w:rStyle w:val="23"/>
          <w:rFonts w:hint="default" w:ascii="Times New Roman" w:hAnsi="Times New Roman" w:eastAsia="宋体"/>
          <w:b w:val="0"/>
          <w:bCs/>
          <w:sz w:val="24"/>
          <w:szCs w:val="24"/>
          <w:highlight w:val="none"/>
          <w:lang w:val="en-US" w:eastAsia="zh-CN"/>
        </w:rPr>
        <w:t>省道（S316）海山公路与国道（G201）鹤大公路宁安镇北连接线工程项目</w:t>
      </w:r>
      <w:r>
        <w:rPr>
          <w:rFonts w:hint="eastAsia" w:cs="宋体"/>
          <w:color w:val="auto"/>
          <w:highlight w:val="none"/>
          <w:lang w:eastAsia="zh-CN"/>
        </w:rPr>
        <w:t>。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color w:val="auto"/>
          <w:highlight w:val="none"/>
        </w:rPr>
      </w:pPr>
      <w:bookmarkStart w:id="14" w:name="_Toc8164"/>
      <w:r>
        <w:rPr>
          <w:rFonts w:hint="eastAsia"/>
          <w:color w:val="auto"/>
          <w:highlight w:val="none"/>
          <w:lang w:eastAsia="zh-CN"/>
        </w:rPr>
        <w:t>二、招标</w:t>
      </w:r>
      <w:r>
        <w:rPr>
          <w:rFonts w:hint="eastAsia"/>
          <w:color w:val="auto"/>
          <w:highlight w:val="none"/>
        </w:rPr>
        <w:t>方式</w:t>
      </w:r>
      <w:bookmarkEnd w:id="14"/>
    </w:p>
    <w:p>
      <w:pPr>
        <w:bidi w:val="0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2.1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招标方式为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竞价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招标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（一次竞价）</w:t>
      </w:r>
    </w:p>
    <w:p>
      <w:pPr>
        <w:pStyle w:val="5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/>
          <w:color w:val="auto"/>
          <w:highlight w:val="none"/>
        </w:rPr>
      </w:pPr>
      <w:bookmarkStart w:id="15" w:name="_Toc24045"/>
      <w:r>
        <w:rPr>
          <w:rFonts w:hint="eastAsia"/>
          <w:color w:val="auto"/>
          <w:highlight w:val="none"/>
          <w:lang w:eastAsia="zh-CN"/>
        </w:rPr>
        <w:t>三、招标</w:t>
      </w:r>
      <w:r>
        <w:rPr>
          <w:rFonts w:hint="eastAsia"/>
          <w:color w:val="auto"/>
          <w:highlight w:val="none"/>
        </w:rPr>
        <w:t>预算</w:t>
      </w:r>
      <w:bookmarkEnd w:id="15"/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3.1招标预算金额为1950000.00元</w:t>
      </w:r>
      <w:r>
        <w:rPr>
          <w:rFonts w:hint="eastAsia" w:ascii="宋体" w:hAnsi="宋体"/>
          <w:color w:val="auto"/>
          <w:sz w:val="24"/>
          <w:highlight w:val="none"/>
        </w:rPr>
        <w:t>（以实际发生为准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,</w:t>
      </w:r>
      <w:r>
        <w:rPr>
          <w:rFonts w:hint="eastAsia" w:ascii="宋体" w:hAnsi="宋体"/>
          <w:color w:val="auto"/>
          <w:sz w:val="24"/>
          <w:highlight w:val="none"/>
        </w:rPr>
        <w:t>意向供应商报价为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含税、货到现场的报价</w:t>
      </w:r>
      <w:r>
        <w:rPr>
          <w:rFonts w:hint="eastAsia" w:ascii="宋体" w:hAnsi="宋体"/>
          <w:color w:val="auto"/>
          <w:sz w:val="24"/>
          <w:highlight w:val="none"/>
        </w:rPr>
        <w:t>，开具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13%的</w:t>
      </w:r>
      <w:r>
        <w:rPr>
          <w:rFonts w:hint="eastAsia" w:ascii="宋体" w:hAnsi="宋体"/>
          <w:color w:val="auto"/>
          <w:sz w:val="24"/>
          <w:highlight w:val="none"/>
        </w:rPr>
        <w:t>增值税专用发票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。</w:t>
      </w:r>
      <w:r>
        <w:rPr>
          <w:rFonts w:hint="eastAsia" w:ascii="宋体" w:hAnsi="宋体"/>
          <w:color w:val="auto"/>
          <w:sz w:val="24"/>
          <w:highlight w:val="none"/>
        </w:rPr>
        <w:t>）</w:t>
      </w:r>
    </w:p>
    <w:p>
      <w:pPr>
        <w:pStyle w:val="5"/>
        <w:rPr>
          <w:color w:val="auto"/>
          <w:highlight w:val="none"/>
        </w:rPr>
      </w:pPr>
      <w:bookmarkStart w:id="16" w:name="_Toc22676"/>
      <w:r>
        <w:rPr>
          <w:rFonts w:hint="eastAsia"/>
          <w:color w:val="auto"/>
          <w:highlight w:val="none"/>
        </w:rPr>
        <w:t>四、意向供应商资格要求</w:t>
      </w:r>
      <w:bookmarkEnd w:id="16"/>
    </w:p>
    <w:p>
      <w:pPr>
        <w:snapToGrid w:val="0"/>
        <w:ind w:right="-58" w:firstLine="480" w:firstLineChars="200"/>
        <w:rPr>
          <w:rFonts w:asciiTheme="majorEastAsia" w:hAnsiTheme="majorEastAsia" w:eastAsiaTheme="majorEastAsia" w:cstheme="majorEastAsia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4.1必须是中华人民共和国注册的企业并具有独立法人资格，具备有效的法人营业执照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营业执照经营范围必须含有本次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  <w:lang w:eastAsia="zh-CN"/>
        </w:rPr>
        <w:t>招标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highlight w:val="none"/>
        </w:rPr>
        <w:t>项目的相关内容。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4.2意向供应商具备法律法规规定的其它条件和良好的社会信誉，在经营活动中没有违法违规记录，近三年无诉讼和仲裁且正常纳税。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4.3意向供应商必须具备《政府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法》第二十二条规定的条件。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4.4意向供应商不得存在下列不良状况或不良信用记录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4.4.1被责令停业，暂扣或吊销执照；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4.4.2进入清算程序，或被宣告破产，或其他丧失履约能力的情形；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ind w:firstLine="480" w:firstLineChars="200"/>
        <w:jc w:val="left"/>
        <w:textAlignment w:val="auto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4.4.3经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人认定会对承担本项目造成重大影响的正在诉讼的案件。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highlight w:val="none"/>
          <w:shd w:val="clear" w:color="auto" w:fill="FFFF00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4.5</w:t>
      </w:r>
      <w:r>
        <w:rPr>
          <w:rFonts w:hint="eastAsia" w:ascii="宋体" w:hAnsi="宋体"/>
          <w:color w:val="auto"/>
          <w:sz w:val="24"/>
          <w:highlight w:val="none"/>
        </w:rPr>
        <w:t>意向供应商须通过”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”平台报名，且通过报名确认。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4.6与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人存在利害关系可能影响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公正性的法人，不得参加本项目投标。</w:t>
      </w:r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4.7法定代表人为同一人或者存在控股、管理关系的不同企业（如：母、子公司等），不得同时参加本项目投标。</w:t>
      </w:r>
    </w:p>
    <w:p>
      <w:pPr>
        <w:snapToGrid w:val="0"/>
        <w:ind w:right="-58" w:firstLine="480" w:firstLineChars="2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4.8本项目不接受联合体参加。</w:t>
      </w:r>
    </w:p>
    <w:p>
      <w:pPr>
        <w:pStyle w:val="5"/>
        <w:rPr>
          <w:color w:val="auto"/>
          <w:highlight w:val="none"/>
        </w:rPr>
      </w:pPr>
      <w:bookmarkStart w:id="17" w:name="_Toc1030"/>
      <w:r>
        <w:rPr>
          <w:rFonts w:hint="eastAsia"/>
          <w:color w:val="auto"/>
          <w:highlight w:val="none"/>
        </w:rPr>
        <w:t>五、</w:t>
      </w:r>
      <w:r>
        <w:rPr>
          <w:rFonts w:hint="eastAsia"/>
          <w:color w:val="auto"/>
          <w:highlight w:val="none"/>
          <w:lang w:eastAsia="zh-CN"/>
        </w:rPr>
        <w:t>招标</w:t>
      </w:r>
      <w:r>
        <w:rPr>
          <w:rFonts w:hint="eastAsia"/>
          <w:color w:val="auto"/>
          <w:highlight w:val="none"/>
        </w:rPr>
        <w:t>文件的获取</w:t>
      </w:r>
      <w:bookmarkEnd w:id="17"/>
    </w:p>
    <w:p>
      <w:pPr>
        <w:snapToGrid w:val="0"/>
        <w:ind w:right="-58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5.1凡有意参加的意向供应商，请登录</w:t>
      </w:r>
      <w:r>
        <w:rPr>
          <w:rFonts w:hint="eastAsia" w:ascii="宋体" w:hAnsi="宋体" w:cs="宋体"/>
          <w:color w:val="auto"/>
          <w:sz w:val="24"/>
          <w:highlight w:val="none"/>
        </w:rPr>
        <w:t>“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 w:cs="宋体"/>
          <w:color w:val="auto"/>
          <w:sz w:val="24"/>
          <w:highlight w:val="none"/>
        </w:rPr>
        <w:t>”（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/>
          <w:color w:val="auto"/>
          <w:sz w:val="24"/>
          <w:highlight w:val="none"/>
        </w:rPr>
        <w:t>按要求进行实名会员注册及选择项目报名、下载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文件。</w:t>
      </w:r>
    </w:p>
    <w:p>
      <w:pPr>
        <w:pStyle w:val="5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  <w:bookmarkStart w:id="18" w:name="_Toc17001"/>
      <w:bookmarkStart w:id="19" w:name="_Toc19529"/>
      <w:r>
        <w:rPr>
          <w:rFonts w:hint="eastAsia"/>
          <w:color w:val="auto"/>
          <w:highlight w:val="none"/>
          <w:lang w:val="en-US" w:eastAsia="zh-CN"/>
        </w:rPr>
        <w:t>六、投标保证金</w:t>
      </w:r>
      <w:bookmarkEnd w:id="18"/>
    </w:p>
    <w:p>
      <w:pPr>
        <w:pStyle w:val="5"/>
        <w:ind w:firstLine="480" w:firstLineChars="200"/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6.1本项目收取保证金及保函。</w:t>
      </w:r>
    </w:p>
    <w:bookmarkEnd w:id="19"/>
    <w:p>
      <w:pPr>
        <w:pStyle w:val="5"/>
        <w:rPr>
          <w:rFonts w:ascii="宋体" w:hAnsi="宋体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七、</w:t>
      </w:r>
      <w:r>
        <w:rPr>
          <w:rFonts w:hint="eastAsia"/>
          <w:color w:val="auto"/>
          <w:highlight w:val="none"/>
        </w:rPr>
        <w:t>竞价安排</w:t>
      </w:r>
    </w:p>
    <w:p>
      <w:pPr>
        <w:snapToGrid w:val="0"/>
        <w:ind w:right="840"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.1竞价方式：一次报价；</w:t>
      </w:r>
    </w:p>
    <w:p>
      <w:pPr>
        <w:pStyle w:val="6"/>
        <w:ind w:firstLine="48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.2报价价格区间:价格上限为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1950000.00元</w:t>
      </w:r>
      <w:r>
        <w:rPr>
          <w:rFonts w:hint="eastAsia" w:ascii="宋体" w:hAnsi="宋体"/>
          <w:color w:val="auto"/>
          <w:sz w:val="24"/>
          <w:highlight w:val="none"/>
        </w:rPr>
        <w:t>人民币，不设价格下限；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.3报名方式和截止时间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.3.1通过“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highlight w:val="none"/>
        </w:rPr>
        <w:t>”（网址：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  <w:highlight w:val="none"/>
        </w:rPr>
        <w:t>）进行报名。经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color w:val="auto"/>
          <w:sz w:val="24"/>
          <w:highlight w:val="none"/>
        </w:rPr>
        <w:t>人对主体资格（企业规模、营业执照等）与资信证明材料审核通过，方可参与本次竞价招标。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.3.2报名文件提交方式：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.3.2.1线上提交加盖公章的营业执照、法人身份证电子版扫描件。</w:t>
      </w:r>
    </w:p>
    <w:p>
      <w:pPr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right="-58" w:firstLine="480" w:firstLineChars="200"/>
        <w:textAlignment w:val="auto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highlight w:val="none"/>
        </w:rPr>
        <w:t>.3.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2.2</w:t>
      </w:r>
      <w:r>
        <w:rPr>
          <w:rFonts w:hint="eastAsia" w:ascii="宋体" w:hAnsi="宋体"/>
          <w:color w:val="auto"/>
          <w:sz w:val="24"/>
          <w:highlight w:val="none"/>
        </w:rPr>
        <w:t>线上报名截止时间：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2021年8月5日8时00分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.4报价方式和截止时间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.4.1本次报价需在“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塔比星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”上进行，未完成平台报价的供应商将视为放弃报价资格。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7.4.2报价文件提交截止时间：2021年08月8日10时00分。</w:t>
      </w:r>
    </w:p>
    <w:p>
      <w:pPr>
        <w:pStyle w:val="5"/>
        <w:numPr>
          <w:ilvl w:val="0"/>
          <w:numId w:val="1"/>
        </w:numPr>
        <w:rPr>
          <w:rFonts w:hint="eastAsia"/>
          <w:color w:val="auto"/>
          <w:highlight w:val="none"/>
        </w:rPr>
      </w:pPr>
      <w:bookmarkStart w:id="20" w:name="_Toc2561"/>
      <w:r>
        <w:rPr>
          <w:rFonts w:hint="eastAsia"/>
          <w:color w:val="auto"/>
          <w:highlight w:val="none"/>
        </w:rPr>
        <w:t>确定成交供应商</w:t>
      </w:r>
      <w:bookmarkEnd w:id="20"/>
    </w:p>
    <w:p>
      <w:pPr>
        <w:numPr>
          <w:ilvl w:val="0"/>
          <w:numId w:val="1"/>
        </w:numPr>
      </w:pPr>
    </w:p>
    <w:p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highlight w:val="none"/>
        </w:rPr>
        <w:t>.1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招标</w:t>
      </w:r>
      <w:r>
        <w:rPr>
          <w:rFonts w:ascii="宋体" w:hAnsi="宋体"/>
          <w:color w:val="auto"/>
          <w:sz w:val="24"/>
          <w:highlight w:val="none"/>
        </w:rPr>
        <w:t>人按照</w:t>
      </w:r>
      <w:r>
        <w:rPr>
          <w:rFonts w:hint="eastAsia" w:ascii="宋体" w:hAnsi="宋体"/>
          <w:color w:val="auto"/>
          <w:sz w:val="24"/>
          <w:highlight w:val="none"/>
        </w:rPr>
        <w:t>“</w:t>
      </w:r>
      <w:r>
        <w:rPr>
          <w:rFonts w:ascii="宋体" w:hAnsi="宋体"/>
          <w:color w:val="auto"/>
          <w:sz w:val="24"/>
          <w:highlight w:val="none"/>
        </w:rPr>
        <w:t>报价最低</w:t>
      </w:r>
      <w:r>
        <w:rPr>
          <w:rFonts w:hint="eastAsia" w:ascii="宋体" w:hAnsi="宋体"/>
          <w:color w:val="auto"/>
          <w:sz w:val="24"/>
          <w:highlight w:val="none"/>
        </w:rPr>
        <w:t>、时间优先”</w:t>
      </w:r>
      <w:r>
        <w:rPr>
          <w:rFonts w:ascii="宋体" w:hAnsi="宋体"/>
          <w:color w:val="auto"/>
          <w:sz w:val="24"/>
          <w:highlight w:val="none"/>
        </w:rPr>
        <w:t>原则确定成交供应商</w:t>
      </w:r>
      <w:r>
        <w:rPr>
          <w:rFonts w:hint="eastAsia" w:ascii="宋体" w:hAnsi="宋体"/>
          <w:color w:val="auto"/>
          <w:sz w:val="24"/>
          <w:highlight w:val="none"/>
        </w:rPr>
        <w:t>。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意向供应商在规定时间内所提交的最后一次报价为最终报价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如供应无法满足招标文件上的需求视为放弃投标，中标通知发出3日后未与本单位达成意向合同视为放弃本次中标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。</w:t>
      </w:r>
    </w:p>
    <w:p>
      <w:pPr>
        <w:pStyle w:val="5"/>
        <w:rPr>
          <w:rFonts w:ascii="宋体" w:hAnsi="宋体"/>
          <w:color w:val="auto"/>
          <w:kern w:val="0"/>
          <w:highlight w:val="none"/>
        </w:rPr>
      </w:pPr>
      <w:bookmarkStart w:id="21" w:name="_Toc32641"/>
      <w:r>
        <w:rPr>
          <w:rFonts w:hint="eastAsia"/>
          <w:color w:val="auto"/>
          <w:highlight w:val="none"/>
          <w:lang w:val="en-US" w:eastAsia="zh-CN"/>
        </w:rPr>
        <w:t>九</w:t>
      </w:r>
      <w:r>
        <w:rPr>
          <w:rFonts w:hint="eastAsia"/>
          <w:color w:val="auto"/>
          <w:highlight w:val="none"/>
        </w:rPr>
        <w:t>、声明</w:t>
      </w:r>
      <w:bookmarkEnd w:id="21"/>
    </w:p>
    <w:p>
      <w:pPr>
        <w:snapToGrid w:val="0"/>
        <w:ind w:right="-58" w:firstLine="480" w:firstLineChars="2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highlight w:val="none"/>
        </w:rPr>
        <w:t>.1进入报价环节且出价的意向供应商即视为完全同意并响应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公告、</w:t>
      </w:r>
      <w:r>
        <w:rPr>
          <w:rFonts w:hint="eastAsia" w:ascii="宋体" w:hAnsi="宋体"/>
          <w:bCs/>
          <w:color w:val="auto"/>
          <w:sz w:val="24"/>
          <w:highlight w:val="none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  <w:highlight w:val="none"/>
        </w:rPr>
        <w:t>文件、竞价通知的全部内容，无任何负偏离。成交供应商所提供服务必须实</w:t>
      </w:r>
      <w:r>
        <w:rPr>
          <w:rFonts w:hint="eastAsia" w:ascii="宋体" w:hAnsi="宋体"/>
          <w:bCs/>
          <w:color w:val="auto"/>
          <w:sz w:val="24"/>
        </w:rPr>
        <w:t>质性满足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公告、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文件、竞价通知的全部需求，若不满足上述要求，对意向供应商失信行为的惩戒措施按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人企业管理制度的相关规定执行。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.2供应商所提供的产品质量没有达到验收的质量标准，供应方应无偿更换，并赔偿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方由此所造成的一切损失，损失包括但不限于停工待货，使用产品所造成的直接损失。</w:t>
      </w:r>
    </w:p>
    <w:p>
      <w:pPr>
        <w:pStyle w:val="9"/>
        <w:ind w:firstLine="48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</w:rPr>
        <w:t>.3由于供货不及时给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>方造成的损失，供应方应根据</w:t>
      </w:r>
      <w:r>
        <w:rPr>
          <w:rFonts w:hint="eastAsia" w:ascii="宋体" w:hAnsi="宋体"/>
          <w:bCs/>
          <w:color w:val="auto"/>
          <w:sz w:val="24"/>
          <w:lang w:eastAsia="zh-CN"/>
        </w:rPr>
        <w:t>招标</w:t>
      </w:r>
      <w:r>
        <w:rPr>
          <w:rFonts w:hint="eastAsia" w:ascii="宋体" w:hAnsi="宋体"/>
          <w:bCs/>
          <w:color w:val="auto"/>
          <w:sz w:val="24"/>
        </w:rPr>
        <w:t xml:space="preserve">方所造成的损失给与全部赔偿。 </w:t>
      </w:r>
    </w:p>
    <w:p>
      <w:pPr>
        <w:pStyle w:val="5"/>
        <w:rPr>
          <w:color w:val="auto"/>
        </w:rPr>
      </w:pPr>
      <w:bookmarkStart w:id="22" w:name="_Toc4349"/>
      <w:r>
        <w:rPr>
          <w:rFonts w:hint="eastAsia"/>
          <w:color w:val="auto"/>
          <w:lang w:val="en-US" w:eastAsia="zh-CN"/>
        </w:rPr>
        <w:t>十</w:t>
      </w:r>
      <w:r>
        <w:rPr>
          <w:rFonts w:hint="eastAsia"/>
          <w:color w:val="auto"/>
        </w:rPr>
        <w:t>、发布公告的媒介</w:t>
      </w:r>
      <w:bookmarkEnd w:id="22"/>
    </w:p>
    <w:p>
      <w:pPr>
        <w:snapToGrid w:val="0"/>
        <w:ind w:right="-57" w:firstLine="480" w:firstLineChars="200"/>
        <w:jc w:val="left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>本公告在“</w:t>
      </w:r>
      <w:r>
        <w:rPr>
          <w:rFonts w:hint="eastAsia" w:ascii="宋体" w:hAnsi="宋体"/>
          <w:color w:val="auto"/>
          <w:sz w:val="24"/>
          <w:lang w:eastAsia="zh-CN"/>
        </w:rPr>
        <w:t>塔比星</w:t>
      </w:r>
      <w:r>
        <w:rPr>
          <w:rFonts w:hint="eastAsia" w:ascii="宋体" w:hAnsi="宋体"/>
          <w:color w:val="auto"/>
          <w:sz w:val="24"/>
        </w:rPr>
        <w:t>”（网址：</w:t>
      </w:r>
      <w:r>
        <w:rPr>
          <w:rFonts w:hint="eastAsia" w:ascii="宋体" w:hAnsi="宋体"/>
          <w:color w:val="auto"/>
          <w:sz w:val="24"/>
          <w:lang w:eastAsia="zh-CN"/>
        </w:rPr>
        <w:t>https://www.tabe.cn/</w:t>
      </w:r>
      <w:r>
        <w:rPr>
          <w:rFonts w:hint="eastAsia" w:ascii="宋体" w:hAnsi="宋体"/>
          <w:color w:val="auto"/>
          <w:sz w:val="24"/>
        </w:rPr>
        <w:t>）发布，其它网址转载无效。</w:t>
      </w:r>
    </w:p>
    <w:p>
      <w:pPr>
        <w:pStyle w:val="5"/>
        <w:rPr>
          <w:color w:val="auto"/>
        </w:rPr>
      </w:pPr>
      <w:bookmarkStart w:id="23" w:name="_Toc19653"/>
      <w:r>
        <w:rPr>
          <w:rFonts w:hint="eastAsia"/>
          <w:color w:val="auto"/>
        </w:rPr>
        <w:t>十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</w:rPr>
        <w:t>、联系方式</w:t>
      </w:r>
      <w:bookmarkEnd w:id="23"/>
    </w:p>
    <w:bookmarkEnd w:id="1"/>
    <w:bookmarkEnd w:id="2"/>
    <w:bookmarkEnd w:id="3"/>
    <w:bookmarkEnd w:id="4"/>
    <w:bookmarkEnd w:id="5"/>
    <w:bookmarkEnd w:id="6"/>
    <w:bookmarkEnd w:id="9"/>
    <w:bookmarkEnd w:id="10"/>
    <w:bookmarkEnd w:id="11"/>
    <w:bookmarkEnd w:id="12"/>
    <w:bookmarkEnd w:id="13"/>
    <w:p>
      <w:pPr>
        <w:snapToGrid w:val="0"/>
        <w:ind w:right="-58" w:firstLine="480" w:firstLineChars="200"/>
        <w:rPr>
          <w:rFonts w:hint="eastAsia" w:ascii="宋体" w:hAnsi="宋体"/>
          <w:bCs/>
          <w:color w:val="auto"/>
          <w:sz w:val="24"/>
          <w:lang w:val="en-US" w:eastAsia="zh-CN"/>
        </w:rPr>
      </w:pPr>
      <w:bookmarkStart w:id="24" w:name="_Hlk530683232"/>
      <w:bookmarkStart w:id="25" w:name="_Toc418502404"/>
      <w:r>
        <w:rPr>
          <w:rFonts w:hint="eastAsia" w:ascii="宋体" w:hAnsi="宋体"/>
          <w:bCs/>
          <w:color w:val="auto"/>
          <w:sz w:val="24"/>
          <w:lang w:val="en-US" w:eastAsia="zh-CN"/>
        </w:rPr>
        <w:t>招 标 人：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黑龙江省八达路桥建设有限公司宁安分公司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地   址：黑龙江省牡丹江市宁安市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联 系 人：邓正波</w:t>
      </w:r>
    </w:p>
    <w:p>
      <w:pPr>
        <w:snapToGrid w:val="0"/>
        <w:ind w:right="-58" w:firstLine="480" w:firstLineChars="200"/>
        <w:rPr>
          <w:rFonts w:hint="default" w:ascii="宋体" w:hAnsi="宋体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lang w:val="en-US" w:eastAsia="zh-CN"/>
        </w:rPr>
        <w:t>电   话：</w:t>
      </w:r>
      <w:bookmarkEnd w:id="24"/>
      <w:bookmarkEnd w:id="25"/>
      <w:r>
        <w:rPr>
          <w:rFonts w:hint="eastAsia" w:ascii="宋体" w:hAnsi="宋体"/>
          <w:bCs/>
          <w:color w:val="auto"/>
          <w:sz w:val="24"/>
          <w:lang w:val="en-US" w:eastAsia="zh-CN"/>
        </w:rPr>
        <w:t>15124587007</w:t>
      </w:r>
    </w:p>
    <w:p>
      <w:pPr>
        <w:pStyle w:val="2"/>
        <w:rPr>
          <w:color w:val="auto"/>
        </w:rPr>
      </w:pPr>
    </w:p>
    <w:bookmarkEnd w:id="26"/>
    <w:sectPr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2" o:spid="_x0000_s4098" o:spt="136" type="#_x0000_t136" style="position:absolute;left:0pt;height:60pt;width:240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1" o:spid="_x0000_s4097" o:spt="136" type="#_x0000_t136" style="position:absolute;left:0pt;height:60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t" xscale="f" string="内部审查" style="font-family:宋体;font-size:6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2931"/>
    <w:multiLevelType w:val="singleLevel"/>
    <w:tmpl w:val="6E55293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7BF8"/>
    <w:rsid w:val="000179DD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9A7BA5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1F8060C"/>
    <w:rsid w:val="0205250F"/>
    <w:rsid w:val="02433859"/>
    <w:rsid w:val="024A0A7B"/>
    <w:rsid w:val="02CB2ECE"/>
    <w:rsid w:val="031D43D8"/>
    <w:rsid w:val="03910237"/>
    <w:rsid w:val="043C3250"/>
    <w:rsid w:val="04655ECF"/>
    <w:rsid w:val="04956473"/>
    <w:rsid w:val="05A93BCF"/>
    <w:rsid w:val="05CE5594"/>
    <w:rsid w:val="060222F5"/>
    <w:rsid w:val="06275190"/>
    <w:rsid w:val="06A145E6"/>
    <w:rsid w:val="071B6B13"/>
    <w:rsid w:val="07DC064A"/>
    <w:rsid w:val="0819634A"/>
    <w:rsid w:val="08593942"/>
    <w:rsid w:val="08597BF8"/>
    <w:rsid w:val="090B06D7"/>
    <w:rsid w:val="097E7EB6"/>
    <w:rsid w:val="09BE0CFF"/>
    <w:rsid w:val="09F21011"/>
    <w:rsid w:val="0A036413"/>
    <w:rsid w:val="0A151A38"/>
    <w:rsid w:val="0AC67AB0"/>
    <w:rsid w:val="0AD003D4"/>
    <w:rsid w:val="0ADF76FA"/>
    <w:rsid w:val="0AFB6E95"/>
    <w:rsid w:val="0AFC0FE9"/>
    <w:rsid w:val="0B0F6BA0"/>
    <w:rsid w:val="0B890D00"/>
    <w:rsid w:val="0CB22F9F"/>
    <w:rsid w:val="0D04699D"/>
    <w:rsid w:val="0D6E2F7E"/>
    <w:rsid w:val="0DB12F8E"/>
    <w:rsid w:val="0DDD3A9A"/>
    <w:rsid w:val="0DEE47C5"/>
    <w:rsid w:val="0EAF2BB4"/>
    <w:rsid w:val="0ED452BB"/>
    <w:rsid w:val="0F31425F"/>
    <w:rsid w:val="0F6415E1"/>
    <w:rsid w:val="0FC612E0"/>
    <w:rsid w:val="0FE0131E"/>
    <w:rsid w:val="10EA45B9"/>
    <w:rsid w:val="11346698"/>
    <w:rsid w:val="11711EDF"/>
    <w:rsid w:val="121E4F8B"/>
    <w:rsid w:val="12621615"/>
    <w:rsid w:val="126573F5"/>
    <w:rsid w:val="12831CFB"/>
    <w:rsid w:val="12A40493"/>
    <w:rsid w:val="12D40CE1"/>
    <w:rsid w:val="1309743E"/>
    <w:rsid w:val="130D5403"/>
    <w:rsid w:val="13572391"/>
    <w:rsid w:val="13944281"/>
    <w:rsid w:val="13AA11FD"/>
    <w:rsid w:val="13B441D7"/>
    <w:rsid w:val="13E5363B"/>
    <w:rsid w:val="140B5AF7"/>
    <w:rsid w:val="140D509F"/>
    <w:rsid w:val="14207B19"/>
    <w:rsid w:val="14754EDA"/>
    <w:rsid w:val="150760DD"/>
    <w:rsid w:val="150D2076"/>
    <w:rsid w:val="15E32CD0"/>
    <w:rsid w:val="16107245"/>
    <w:rsid w:val="16AD49FB"/>
    <w:rsid w:val="17163D0C"/>
    <w:rsid w:val="1749347D"/>
    <w:rsid w:val="17E3228D"/>
    <w:rsid w:val="17F768BC"/>
    <w:rsid w:val="18456D28"/>
    <w:rsid w:val="186F7AD3"/>
    <w:rsid w:val="18AE6C98"/>
    <w:rsid w:val="18AF149D"/>
    <w:rsid w:val="18D10B1B"/>
    <w:rsid w:val="18F61A87"/>
    <w:rsid w:val="19030CCB"/>
    <w:rsid w:val="195053A8"/>
    <w:rsid w:val="19A73AA1"/>
    <w:rsid w:val="19B8216B"/>
    <w:rsid w:val="19F41B4A"/>
    <w:rsid w:val="1A7B63FB"/>
    <w:rsid w:val="1A875609"/>
    <w:rsid w:val="1B4A548A"/>
    <w:rsid w:val="1BBC0929"/>
    <w:rsid w:val="1C250490"/>
    <w:rsid w:val="1C8E6019"/>
    <w:rsid w:val="1CF97F0F"/>
    <w:rsid w:val="1D4463A1"/>
    <w:rsid w:val="1D4B3CD8"/>
    <w:rsid w:val="1D741B82"/>
    <w:rsid w:val="1D993B93"/>
    <w:rsid w:val="1DB66595"/>
    <w:rsid w:val="1DCF77D1"/>
    <w:rsid w:val="1E593CBF"/>
    <w:rsid w:val="1E643DF4"/>
    <w:rsid w:val="1EFF7E60"/>
    <w:rsid w:val="1F0C44A9"/>
    <w:rsid w:val="1F181CC5"/>
    <w:rsid w:val="1F2567E1"/>
    <w:rsid w:val="20057CEF"/>
    <w:rsid w:val="20465AA4"/>
    <w:rsid w:val="22196FCD"/>
    <w:rsid w:val="224C670A"/>
    <w:rsid w:val="22CD3694"/>
    <w:rsid w:val="23187766"/>
    <w:rsid w:val="23216B2A"/>
    <w:rsid w:val="23B23E2D"/>
    <w:rsid w:val="23C04B00"/>
    <w:rsid w:val="247B02CD"/>
    <w:rsid w:val="247E1064"/>
    <w:rsid w:val="249A1070"/>
    <w:rsid w:val="24BB21C6"/>
    <w:rsid w:val="2528127E"/>
    <w:rsid w:val="25651C69"/>
    <w:rsid w:val="25CE6D9C"/>
    <w:rsid w:val="267172D1"/>
    <w:rsid w:val="26AB1892"/>
    <w:rsid w:val="271B665A"/>
    <w:rsid w:val="275C2A3E"/>
    <w:rsid w:val="27F929AE"/>
    <w:rsid w:val="2825324E"/>
    <w:rsid w:val="284F18F0"/>
    <w:rsid w:val="287B40C5"/>
    <w:rsid w:val="28CC3ACD"/>
    <w:rsid w:val="2982771F"/>
    <w:rsid w:val="29A33591"/>
    <w:rsid w:val="29B251D3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B24F69"/>
    <w:rsid w:val="302F239B"/>
    <w:rsid w:val="30455344"/>
    <w:rsid w:val="30463B26"/>
    <w:rsid w:val="30880E08"/>
    <w:rsid w:val="3090164F"/>
    <w:rsid w:val="30D97F20"/>
    <w:rsid w:val="31527924"/>
    <w:rsid w:val="316B20F9"/>
    <w:rsid w:val="316D740E"/>
    <w:rsid w:val="31C22C15"/>
    <w:rsid w:val="31C9619C"/>
    <w:rsid w:val="31DC1E70"/>
    <w:rsid w:val="3213787A"/>
    <w:rsid w:val="32587733"/>
    <w:rsid w:val="32B2084A"/>
    <w:rsid w:val="32C96F9E"/>
    <w:rsid w:val="34430B3B"/>
    <w:rsid w:val="34441005"/>
    <w:rsid w:val="34722F2D"/>
    <w:rsid w:val="34842B29"/>
    <w:rsid w:val="348D5BA9"/>
    <w:rsid w:val="351E4A2D"/>
    <w:rsid w:val="351F67D0"/>
    <w:rsid w:val="354A48D8"/>
    <w:rsid w:val="358B46E5"/>
    <w:rsid w:val="35F45984"/>
    <w:rsid w:val="35FA6011"/>
    <w:rsid w:val="36241559"/>
    <w:rsid w:val="36E42BFC"/>
    <w:rsid w:val="378E00C0"/>
    <w:rsid w:val="37A53561"/>
    <w:rsid w:val="37B51DAA"/>
    <w:rsid w:val="37BC545C"/>
    <w:rsid w:val="37C11A1F"/>
    <w:rsid w:val="38120073"/>
    <w:rsid w:val="390E4606"/>
    <w:rsid w:val="394A63F4"/>
    <w:rsid w:val="395E57A3"/>
    <w:rsid w:val="396E29BA"/>
    <w:rsid w:val="39DD0957"/>
    <w:rsid w:val="39DD5174"/>
    <w:rsid w:val="3A2018FF"/>
    <w:rsid w:val="3A3E4334"/>
    <w:rsid w:val="3A693C41"/>
    <w:rsid w:val="3A97095D"/>
    <w:rsid w:val="3AD13566"/>
    <w:rsid w:val="3B666A69"/>
    <w:rsid w:val="3BA17626"/>
    <w:rsid w:val="3BA574D9"/>
    <w:rsid w:val="3C3A22BF"/>
    <w:rsid w:val="3C6E113B"/>
    <w:rsid w:val="3CF904AE"/>
    <w:rsid w:val="3D2573CB"/>
    <w:rsid w:val="3E1F5EB7"/>
    <w:rsid w:val="3E207821"/>
    <w:rsid w:val="3EC66969"/>
    <w:rsid w:val="3F6258A7"/>
    <w:rsid w:val="3F7F12B0"/>
    <w:rsid w:val="3F8F5FC0"/>
    <w:rsid w:val="3FDF6058"/>
    <w:rsid w:val="407B2222"/>
    <w:rsid w:val="40B95679"/>
    <w:rsid w:val="40D5519E"/>
    <w:rsid w:val="40FE0111"/>
    <w:rsid w:val="41401A13"/>
    <w:rsid w:val="415D65F6"/>
    <w:rsid w:val="422E1A71"/>
    <w:rsid w:val="42563CA8"/>
    <w:rsid w:val="426F1AEA"/>
    <w:rsid w:val="42870380"/>
    <w:rsid w:val="42C6063A"/>
    <w:rsid w:val="42F20A25"/>
    <w:rsid w:val="42F60848"/>
    <w:rsid w:val="430E1771"/>
    <w:rsid w:val="432E0943"/>
    <w:rsid w:val="438A5034"/>
    <w:rsid w:val="43D047D4"/>
    <w:rsid w:val="445C2F85"/>
    <w:rsid w:val="454345C8"/>
    <w:rsid w:val="454D639A"/>
    <w:rsid w:val="458C13D6"/>
    <w:rsid w:val="45FC6832"/>
    <w:rsid w:val="46147080"/>
    <w:rsid w:val="46156373"/>
    <w:rsid w:val="46533F4F"/>
    <w:rsid w:val="46940254"/>
    <w:rsid w:val="46A726A9"/>
    <w:rsid w:val="46B900A1"/>
    <w:rsid w:val="47204D06"/>
    <w:rsid w:val="47660995"/>
    <w:rsid w:val="47A20B3B"/>
    <w:rsid w:val="47C54249"/>
    <w:rsid w:val="48222DEA"/>
    <w:rsid w:val="48391AA6"/>
    <w:rsid w:val="48990C74"/>
    <w:rsid w:val="48B27864"/>
    <w:rsid w:val="498B558E"/>
    <w:rsid w:val="4A276DC6"/>
    <w:rsid w:val="4A2B659A"/>
    <w:rsid w:val="4A2B7505"/>
    <w:rsid w:val="4A381BBD"/>
    <w:rsid w:val="4A4800C7"/>
    <w:rsid w:val="4A780718"/>
    <w:rsid w:val="4B2479A9"/>
    <w:rsid w:val="4B492AFF"/>
    <w:rsid w:val="4B9F3474"/>
    <w:rsid w:val="4BC96CB1"/>
    <w:rsid w:val="4BE160C6"/>
    <w:rsid w:val="4C4D06F4"/>
    <w:rsid w:val="4C8822A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754E1E"/>
    <w:rsid w:val="4F950966"/>
    <w:rsid w:val="4FC91F0F"/>
    <w:rsid w:val="50152ACD"/>
    <w:rsid w:val="50B53893"/>
    <w:rsid w:val="50BA2E4A"/>
    <w:rsid w:val="50FB749E"/>
    <w:rsid w:val="51076FF2"/>
    <w:rsid w:val="511F2554"/>
    <w:rsid w:val="51312DFF"/>
    <w:rsid w:val="51C55C86"/>
    <w:rsid w:val="524D648B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4E27875"/>
    <w:rsid w:val="55407066"/>
    <w:rsid w:val="556F065B"/>
    <w:rsid w:val="55840125"/>
    <w:rsid w:val="55D15919"/>
    <w:rsid w:val="56086208"/>
    <w:rsid w:val="56E70084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A76486"/>
    <w:rsid w:val="59BE3A87"/>
    <w:rsid w:val="59DF2FD9"/>
    <w:rsid w:val="59E226C0"/>
    <w:rsid w:val="59F32F9B"/>
    <w:rsid w:val="5AA118D2"/>
    <w:rsid w:val="5ABC482A"/>
    <w:rsid w:val="5B065AF2"/>
    <w:rsid w:val="5B095C93"/>
    <w:rsid w:val="5B1B373E"/>
    <w:rsid w:val="5B6D59CF"/>
    <w:rsid w:val="5BA0535F"/>
    <w:rsid w:val="5BD7269F"/>
    <w:rsid w:val="5C001BCA"/>
    <w:rsid w:val="5C0B2CAB"/>
    <w:rsid w:val="5C4B5263"/>
    <w:rsid w:val="5CEC05E9"/>
    <w:rsid w:val="5CFE67E4"/>
    <w:rsid w:val="5D126703"/>
    <w:rsid w:val="5D154823"/>
    <w:rsid w:val="5D3521C1"/>
    <w:rsid w:val="5D660CD9"/>
    <w:rsid w:val="5E3340DB"/>
    <w:rsid w:val="5E392E58"/>
    <w:rsid w:val="5EDA6CAA"/>
    <w:rsid w:val="5EDC5F32"/>
    <w:rsid w:val="5F2933AA"/>
    <w:rsid w:val="5F9E1602"/>
    <w:rsid w:val="5FC021DC"/>
    <w:rsid w:val="5FC2074A"/>
    <w:rsid w:val="5FE62E86"/>
    <w:rsid w:val="5FF64D19"/>
    <w:rsid w:val="5FF773E0"/>
    <w:rsid w:val="606B5755"/>
    <w:rsid w:val="60905B1C"/>
    <w:rsid w:val="609251F4"/>
    <w:rsid w:val="611B76A6"/>
    <w:rsid w:val="6194608B"/>
    <w:rsid w:val="61986D3B"/>
    <w:rsid w:val="61B7414F"/>
    <w:rsid w:val="61D2151A"/>
    <w:rsid w:val="62CE4713"/>
    <w:rsid w:val="63032B74"/>
    <w:rsid w:val="631859CB"/>
    <w:rsid w:val="63603EB9"/>
    <w:rsid w:val="63653ECF"/>
    <w:rsid w:val="63876B40"/>
    <w:rsid w:val="63945DD3"/>
    <w:rsid w:val="63F80264"/>
    <w:rsid w:val="63F95A42"/>
    <w:rsid w:val="647C64A8"/>
    <w:rsid w:val="64C616F1"/>
    <w:rsid w:val="64EC5B6D"/>
    <w:rsid w:val="650561D9"/>
    <w:rsid w:val="658F3253"/>
    <w:rsid w:val="65BB2B98"/>
    <w:rsid w:val="662E73F9"/>
    <w:rsid w:val="66735E32"/>
    <w:rsid w:val="6707752A"/>
    <w:rsid w:val="6756103B"/>
    <w:rsid w:val="67BE601C"/>
    <w:rsid w:val="67C12A80"/>
    <w:rsid w:val="67D72CA3"/>
    <w:rsid w:val="67F70238"/>
    <w:rsid w:val="67FB3E7A"/>
    <w:rsid w:val="689952E0"/>
    <w:rsid w:val="68B0117B"/>
    <w:rsid w:val="68DC07EE"/>
    <w:rsid w:val="68E870D7"/>
    <w:rsid w:val="69D03CD5"/>
    <w:rsid w:val="69D05126"/>
    <w:rsid w:val="69F97042"/>
    <w:rsid w:val="6A1E1056"/>
    <w:rsid w:val="6A5B2721"/>
    <w:rsid w:val="6AB36A76"/>
    <w:rsid w:val="6ABC0EBE"/>
    <w:rsid w:val="6ACC01BD"/>
    <w:rsid w:val="6AF953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772385"/>
    <w:rsid w:val="6D7A0D8A"/>
    <w:rsid w:val="6DD852B8"/>
    <w:rsid w:val="6E51412A"/>
    <w:rsid w:val="6E771DBF"/>
    <w:rsid w:val="6E7A0BA9"/>
    <w:rsid w:val="6EE207A5"/>
    <w:rsid w:val="6F042D8D"/>
    <w:rsid w:val="6F094592"/>
    <w:rsid w:val="6F5F3BC6"/>
    <w:rsid w:val="701574BA"/>
    <w:rsid w:val="703B49BE"/>
    <w:rsid w:val="70484E0F"/>
    <w:rsid w:val="708F255B"/>
    <w:rsid w:val="70D519B6"/>
    <w:rsid w:val="70DA41D5"/>
    <w:rsid w:val="712E3765"/>
    <w:rsid w:val="71910455"/>
    <w:rsid w:val="72D41BFD"/>
    <w:rsid w:val="72FC7AD6"/>
    <w:rsid w:val="73247F6F"/>
    <w:rsid w:val="73436CEC"/>
    <w:rsid w:val="734B481E"/>
    <w:rsid w:val="73537459"/>
    <w:rsid w:val="73BC68FE"/>
    <w:rsid w:val="73D0069D"/>
    <w:rsid w:val="7471623A"/>
    <w:rsid w:val="74D613B0"/>
    <w:rsid w:val="74D92AAD"/>
    <w:rsid w:val="752306DE"/>
    <w:rsid w:val="75363DD7"/>
    <w:rsid w:val="757F2F3A"/>
    <w:rsid w:val="7588504E"/>
    <w:rsid w:val="75AF1959"/>
    <w:rsid w:val="75E85046"/>
    <w:rsid w:val="75F567DD"/>
    <w:rsid w:val="76324BEB"/>
    <w:rsid w:val="76522A11"/>
    <w:rsid w:val="76655639"/>
    <w:rsid w:val="767C38F1"/>
    <w:rsid w:val="767D1E11"/>
    <w:rsid w:val="77527419"/>
    <w:rsid w:val="77FC29B1"/>
    <w:rsid w:val="78081F92"/>
    <w:rsid w:val="7821076F"/>
    <w:rsid w:val="786D0F9E"/>
    <w:rsid w:val="788A260A"/>
    <w:rsid w:val="7906253C"/>
    <w:rsid w:val="791A4549"/>
    <w:rsid w:val="796E04E0"/>
    <w:rsid w:val="79A331C9"/>
    <w:rsid w:val="79FE75BF"/>
    <w:rsid w:val="7A0C7971"/>
    <w:rsid w:val="7A362CBE"/>
    <w:rsid w:val="7A3E2E1D"/>
    <w:rsid w:val="7C2B5368"/>
    <w:rsid w:val="7C5D74ED"/>
    <w:rsid w:val="7C83609A"/>
    <w:rsid w:val="7C8578FA"/>
    <w:rsid w:val="7C9E3C44"/>
    <w:rsid w:val="7D7E6C3C"/>
    <w:rsid w:val="7DE7672D"/>
    <w:rsid w:val="7E025B6D"/>
    <w:rsid w:val="7E2343C3"/>
    <w:rsid w:val="7E3635C9"/>
    <w:rsid w:val="7E595448"/>
    <w:rsid w:val="7E90246A"/>
    <w:rsid w:val="7E961EA0"/>
    <w:rsid w:val="7EBE0EA1"/>
    <w:rsid w:val="7EC35650"/>
    <w:rsid w:val="7ED53065"/>
    <w:rsid w:val="7F0E2580"/>
    <w:rsid w:val="7F2E22D1"/>
    <w:rsid w:val="7F3D6513"/>
    <w:rsid w:val="7F4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5">
    <w:name w:val="heading 2"/>
    <w:basedOn w:val="1"/>
    <w:next w:val="1"/>
    <w:link w:val="23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Body Text Indent"/>
    <w:basedOn w:val="1"/>
    <w:next w:val="9"/>
    <w:qFormat/>
    <w:uiPriority w:val="0"/>
    <w:pPr>
      <w:ind w:firstLine="420"/>
    </w:pPr>
  </w:style>
  <w:style w:type="paragraph" w:styleId="9">
    <w:name w:val="Body Text First Indent 2"/>
    <w:basedOn w:val="8"/>
    <w:next w:val="1"/>
    <w:qFormat/>
    <w:uiPriority w:val="99"/>
    <w:pPr>
      <w:ind w:firstLine="200" w:firstLineChars="200"/>
    </w:pPr>
    <w:rPr>
      <w:color w:val="000000"/>
    </w:rPr>
  </w:style>
  <w:style w:type="paragraph" w:styleId="10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 Char Char"/>
    <w:link w:val="5"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1931</Words>
  <Characters>11010</Characters>
  <Lines>91</Lines>
  <Paragraphs>25</Paragraphs>
  <TotalTime>494</TotalTime>
  <ScaleCrop>false</ScaleCrop>
  <LinksUpToDate>false</LinksUpToDate>
  <CharactersWithSpaces>12916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Z</cp:lastModifiedBy>
  <dcterms:modified xsi:type="dcterms:W3CDTF">2021-08-04T03:16:07Z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B9715CDAF8D94924AECCAC3ACA6F0D32</vt:lpwstr>
  </property>
</Properties>
</file>